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ind w:right="0"/>
        <w:jc w:val="center"/>
        <w:keepLines w:val="0"/>
        <w:keepNext w:val="0"/>
        <w:pageBreakBefore/>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mc:AlternateContent>
          <mc:Choice Requires="wpg">
            <w:drawing>
              <wp:inline xmlns:wp="http://schemas.openxmlformats.org/drawingml/2006/wordprocessingDrawing" distT="0" distB="0" distL="0" distR="0">
                <wp:extent cx="6188240" cy="875112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88240" cy="8751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7.3pt;height:689.1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
          <w:bCs/>
          <w:sz w:val="36"/>
          <w:szCs w:val="36"/>
          <w:highlight w:val="none"/>
          <w:lang w:val="en-US" w:eastAsia="zh-CN"/>
        </w:rPr>
        <w:t xml:space="preserve">目  录</w:t>
      </w:r>
      <w:r>
        <w:rPr>
          <w:rFonts w:hint="eastAsia" w:ascii="宋体" w:hAnsi="宋体" w:eastAsia="宋体" w:cs="宋体"/>
          <w:b/>
          <w:bCs/>
          <w:sz w:val="36"/>
          <w:szCs w:val="36"/>
          <w:highlight w:val="none"/>
          <w:lang w:val="en-US" w:eastAsia="zh-CN"/>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 xml:space="preserve">投标</w:t>
      </w:r>
      <w:r>
        <w:rPr>
          <w:rFonts w:hint="eastAsia" w:ascii="宋体" w:hAnsi="宋体" w:eastAsia="宋体" w:cs="宋体"/>
          <w:bCs/>
          <w:sz w:val="28"/>
          <w:szCs w:val="28"/>
          <w:highlight w:val="none"/>
        </w:rPr>
        <w:t xml:space="preserve">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投标人</w:t>
      </w:r>
      <w:r>
        <w:rPr>
          <w:rFonts w:hint="eastAsia" w:ascii="宋体" w:hAnsi="宋体" w:eastAsia="宋体" w:cs="宋体"/>
          <w:bCs/>
          <w:sz w:val="28"/>
          <w:szCs w:val="28"/>
          <w:highlight w:val="none"/>
        </w:rPr>
        <w:t xml:space="preserve">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项目采购需求及总体要求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87"/>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 xml:space="preserve">投标</w:t>
      </w:r>
      <w:r>
        <w:rPr>
          <w:rFonts w:hint="eastAsia" w:ascii="宋体" w:hAnsi="宋体" w:eastAsia="宋体" w:cs="宋体"/>
          <w:bCs/>
          <w:sz w:val="28"/>
          <w:szCs w:val="28"/>
          <w:highlight w:val="none"/>
        </w:rPr>
        <w:t xml:space="preserve">文件</w:t>
      </w:r>
      <w:r>
        <w:rPr>
          <w:rFonts w:hint="eastAsia" w:ascii="宋体" w:hAnsi="宋体" w:eastAsia="宋体" w:cs="宋体"/>
          <w:bCs/>
          <w:sz w:val="28"/>
          <w:szCs w:val="28"/>
          <w:highlight w:val="none"/>
          <w:lang w:val="en-US" w:eastAsia="zh-CN"/>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663"/>
        <w:ind w:right="0" w:firstLine="2209"/>
        <w:jc w:val="left"/>
        <w:keepLines w:val="0"/>
        <w:keepNext w:val="0"/>
        <w:pageBreakBefore w:val="0"/>
        <w:spacing w:line="720" w:lineRule="auto"/>
        <w:widowControl w:val="off"/>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r>
        <w:rPr>
          <w:rFonts w:hint="eastAsia" w:ascii="宋体" w:hAnsi="宋体" w:eastAsia="宋体" w:cs="宋体"/>
          <w:b/>
          <w:sz w:val="44"/>
          <w:szCs w:val="44"/>
          <w:highlight w:val="none"/>
        </w:rPr>
      </w:r>
      <w:r/>
    </w:p>
    <w:p>
      <w:pPr>
        <w:pStyle w:val="663"/>
        <w:ind w:right="0" w:firstLine="2715"/>
        <w:keepLines w:val="0"/>
        <w:keepNext w:val="0"/>
        <w:spacing w:line="520" w:lineRule="exact"/>
        <w:rPr>
          <w:rFonts w:hint="eastAsia" w:ascii="宋体" w:hAnsi="宋体" w:eastAsia="宋体" w:cs="宋体"/>
          <w:b/>
          <w:bCs/>
          <w:sz w:val="32"/>
          <w:szCs w:val="32"/>
          <w:highlight w:val="none"/>
        </w:rPr>
        <w:sectPr>
          <w:head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bCs/>
          <w:sz w:val="32"/>
          <w:szCs w:val="32"/>
          <w:highlight w:val="none"/>
        </w:rPr>
      </w:r>
      <w:r/>
    </w:p>
    <w:p>
      <w:pPr>
        <w:pStyle w:val="663"/>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0"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邀请</w:t>
      </w:r>
      <w:bookmarkEnd w:id="0"/>
      <w:r>
        <w:rPr>
          <w:rFonts w:hint="eastAsia" w:ascii="宋体" w:hAnsi="宋体" w:eastAsia="宋体" w:cs="宋体"/>
          <w:b/>
          <w:bCs/>
          <w:sz w:val="32"/>
          <w:szCs w:val="32"/>
          <w:highlight w:val="none"/>
        </w:rPr>
      </w:r>
      <w:r/>
    </w:p>
    <w:tbl>
      <w:tblPr>
        <w:tblStyle w:val="694"/>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725"/>
      </w:tblGrid>
      <w:tr>
        <w:trPr/>
        <w:tc>
          <w:tcPr>
            <w:tcW w:w="9725" w:type="dxa"/>
            <w:vAlign w:val="top"/>
            <w:textDirection w:val="lrTb"/>
            <w:noWrap w:val="false"/>
          </w:tcPr>
          <w:p>
            <w:pPr>
              <w:pStyle w:val="663"/>
              <w:ind w:right="0"/>
              <w:jc w:val="left"/>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项目概况</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663"/>
              <w:ind w:right="0" w:firstLine="480"/>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u w:val="single"/>
                <w:lang w:eastAsia="zh-CN"/>
              </w:rPr>
              <w:t xml:space="preserve">开发区专职消防队消防设备、器材采购项目JSZC-320831-SWGS-G2026-0002</w:t>
            </w:r>
            <w:r>
              <w:rPr>
                <w:rFonts w:hint="eastAsia" w:ascii="宋体" w:hAnsi="宋体" w:eastAsia="宋体" w:cs="宋体"/>
                <w:sz w:val="24"/>
                <w:szCs w:val="24"/>
              </w:rPr>
              <w:t xml:space="preserve">的</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应在江苏政府采购网</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淮安市政府采购网自行免费下载</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lang w:val="en-US" w:eastAsia="zh-CN"/>
              </w:rPr>
              <w:t xml:space="preserve">2026-2-5 9:00</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rPr>
              <w:t xml:space="preserve">前提交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w:t>
            </w:r>
            <w:r>
              <w:rPr>
                <w:rFonts w:hint="eastAsia" w:ascii="宋体" w:hAnsi="宋体" w:eastAsia="宋体" w:cs="宋体"/>
                <w:b/>
                <w:bCs/>
                <w:sz w:val="24"/>
                <w:szCs w:val="24"/>
              </w:rPr>
            </w:r>
            <w:r/>
          </w:p>
        </w:tc>
      </w:tr>
    </w:tbl>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rPr>
          <w:rFonts w:hint="eastAsia" w:ascii="宋体" w:hAnsi="宋体" w:eastAsia="宋体" w:cs="宋体"/>
          <w:b/>
          <w:bCs/>
          <w:sz w:val="24"/>
          <w:szCs w:val="24"/>
          <w:highlight w:val="none"/>
        </w:rPr>
      </w:r>
      <w:r/>
    </w:p>
    <w:p>
      <w:pPr>
        <w:pStyle w:val="663"/>
        <w:ind w:right="0" w:firstLine="484"/>
        <w:jc w:val="left"/>
        <w:keepLines w:val="0"/>
        <w:keepNext w:val="0"/>
        <w:pageBreakBefore w:val="0"/>
        <w:spacing w:line="5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：JSZC-320831-SWGS-G2026-0002</w:t>
      </w:r>
      <w:r>
        <w:rPr>
          <w:rFonts w:ascii="宋体" w:hAnsi="宋体" w:eastAsia="宋体" w:cs="宋体"/>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开</w:t>
      </w:r>
      <w:r>
        <w:rPr>
          <w:rFonts w:hint="eastAsia" w:ascii="宋体" w:hAnsi="宋体" w:eastAsia="宋体" w:cs="宋体"/>
          <w:spacing w:val="-6"/>
          <w:sz w:val="24"/>
          <w:szCs w:val="24"/>
          <w:highlight w:val="none"/>
          <w:lang w:val="en-US" w:eastAsia="zh-CN"/>
        </w:rPr>
        <w:t xml:space="preserve">发</w:t>
      </w:r>
      <w:r>
        <w:rPr>
          <w:rFonts w:hint="eastAsia" w:ascii="宋体" w:hAnsi="宋体" w:eastAsia="宋体" w:cs="宋体"/>
          <w:spacing w:val="-6"/>
          <w:sz w:val="24"/>
          <w:szCs w:val="24"/>
          <w:highlight w:val="none"/>
          <w:lang w:val="en-US" w:eastAsia="zh-CN"/>
        </w:rPr>
        <w:t xml:space="preserve">区专职消防队消防设备、器材采购项目</w:t>
      </w:r>
      <w:r>
        <w:rPr>
          <w:rFonts w:hint="eastAsia" w:ascii="宋体" w:hAnsi="宋体" w:eastAsia="宋体" w:cs="宋体"/>
          <w:bCs/>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pacing w:val="-6"/>
          <w:sz w:val="24"/>
          <w:szCs w:val="24"/>
          <w:highlight w:val="none"/>
          <w:lang w:val="en-US" w:eastAsia="zh-CN"/>
        </w:rPr>
        <w:t xml:space="preserve">：195万元（采购包1:98</w:t>
      </w:r>
      <w:r>
        <w:rPr>
          <w:rFonts w:hint="eastAsia" w:ascii="宋体" w:hAnsi="宋体" w:eastAsia="宋体" w:cs="宋体"/>
          <w:sz w:val="24"/>
          <w:szCs w:val="24"/>
          <w:highlight w:val="none"/>
          <w:lang w:val="en-US" w:eastAsia="zh-CN"/>
        </w:rPr>
        <w:t xml:space="preserve">万元；采购包2:97万元）</w:t>
      </w:r>
      <w:r>
        <w:rPr>
          <w:rFonts w:hint="eastAsia" w:ascii="宋体" w:hAnsi="宋体" w:eastAsia="宋体" w:cs="宋体"/>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最高限价（如有）：</w:t>
      </w:r>
      <w:r>
        <w:rPr>
          <w:rFonts w:hint="eastAsia" w:ascii="宋体" w:hAnsi="宋体" w:eastAsia="宋体" w:cs="宋体"/>
          <w:sz w:val="24"/>
          <w:szCs w:val="24"/>
          <w:highlight w:val="none"/>
          <w:lang w:val="en-US" w:eastAsia="zh-CN"/>
        </w:rPr>
        <w:t xml:space="preserve">195万元（采购包1:98万元；采购包2:97万元）。报价</w:t>
      </w:r>
      <w:r>
        <w:rPr>
          <w:rFonts w:hint="eastAsia" w:ascii="宋体" w:hAnsi="宋体" w:eastAsia="宋体" w:cs="宋体"/>
          <w:sz w:val="24"/>
          <w:szCs w:val="24"/>
          <w:highlight w:val="none"/>
          <w:lang w:val="en-US"/>
        </w:rPr>
        <w:t xml:space="preserve">不得超过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lang w:val="en-US"/>
        </w:rPr>
        <w:t xml:space="preserve">，否则作废标处理。</w:t>
      </w:r>
      <w:r>
        <w:rPr>
          <w:rFonts w:hint="eastAsia" w:ascii="宋体" w:hAnsi="宋体" w:eastAsia="宋体" w:cs="宋体"/>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采购基本消防器材，特种消防器材、通讯装备等。具体详见第</w:t>
      </w:r>
      <w:r>
        <w:rPr>
          <w:rFonts w:hint="eastAsia" w:ascii="宋体" w:hAnsi="宋体" w:eastAsia="宋体" w:cs="宋体"/>
          <w:sz w:val="24"/>
          <w:szCs w:val="24"/>
          <w:highlight w:val="none"/>
          <w:lang w:val="en-US" w:eastAsia="zh-CN"/>
        </w:rPr>
        <w:t xml:space="preserve">五章“项目采购需求”。</w:t>
      </w:r>
      <w:r>
        <w:rPr>
          <w:rFonts w:hint="eastAsia" w:ascii="宋体" w:hAnsi="宋体" w:eastAsia="宋体" w:cs="宋体"/>
          <w:sz w:val="24"/>
          <w:szCs w:val="24"/>
          <w:highlight w:val="none"/>
        </w:rPr>
      </w:r>
      <w:r/>
    </w:p>
    <w:p>
      <w:pPr>
        <w:pStyle w:val="663"/>
        <w:ind w:right="0" w:firstLine="480"/>
        <w:keepLines w:val="0"/>
        <w:keepNext w:val="0"/>
        <w:pageBreakBefore w:val="0"/>
        <w:spacing w:line="50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供货期限</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highlight w:val="none"/>
          <w:lang w:val="en-US"/>
        </w:rPr>
        <w:t xml:space="preserve">合同签订后</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en-US"/>
        </w:rPr>
        <w:t xml:space="preserve">天内</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lang w:val="en-US"/>
        </w:rPr>
        <w:t xml:space="preserve">完毕并验收合格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eastAsia="zh-CN"/>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二、申请人的资格要求（适用各个采购包）</w:t>
      </w:r>
      <w:r>
        <w:rPr>
          <w:rFonts w:hint="eastAsia" w:ascii="宋体" w:hAnsi="宋体" w:eastAsia="宋体" w:cs="宋体"/>
          <w:b/>
          <w:bCs/>
          <w:sz w:val="24"/>
          <w:szCs w:val="24"/>
          <w:highlight w:val="none"/>
          <w:lang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（一）满足《中华人民共和国政府采购法》第二十二条规定</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1.投标人符合《中华人民共和国政府采购法》第二十二条规定的声明函</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2.投标人提供下列之一（提供相关材料）</w:t>
      </w:r>
      <w:r>
        <w:rPr>
          <w:rFonts w:hint="eastAsia" w:ascii="宋体" w:hAnsi="宋体" w:eastAsia="宋体" w:cs="宋体"/>
          <w:bCs/>
          <w:sz w:val="24"/>
          <w:szCs w:val="24"/>
          <w:highlight w:val="none"/>
          <w:lang w:val="en-US" w:eastAsia="zh-CN"/>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法定代表人参加投标的，提供法定代表人资格证明（格式按照示范格式一要求）和法定代表人有效身份证；</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（2）投标人授权委托人参加投标的，提供授权委托书（格式按照示范格式二要求）和受托人有效身份证。</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3.本项目不接受联合体投标人参加投标</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4.拒绝符合下述条件的投标人参加本次采购活动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（1）投标人单位负责人为同一人或者存在直接控股、管理关系的不同投标人，不得同时参加同一合同项下的政府采购活动；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（3）列入失信被执行人、重大税收违法案件当事人名单、政府采购严重违法失信行为记录名单中的投标人不得参加本项目的采购活动。</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sz w:val="24"/>
          <w:szCs w:val="24"/>
          <w:highlight w:val="none"/>
          <w:lang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1.落实政府采购政策需满足的资格要求（提供下列任一项材料即可）</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（1）中小企业声明函；</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（2）《残疾人福利性单位声明函》；</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（3）由省级以上监狱管理局、戒毒管理局（含新疆生产建设兵团）出具的属于监狱企业的证明文件。</w:t>
      </w:r>
      <w:r>
        <w:rPr>
          <w:rFonts w:hint="eastAsia" w:ascii="宋体" w:hAnsi="宋体" w:eastAsia="宋体" w:cs="宋体"/>
          <w:sz w:val="24"/>
          <w:szCs w:val="24"/>
          <w:highlight w:val="none"/>
          <w:lang w:val="en-US" w:eastAsia="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 xml:space="preserve">种方式落实政府采购促进中小企业发展的要求</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本项目为专门面向中小企业采购的项目。</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本项目通过以下第（）种方式预留部分采购份额</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中小企业</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zh-CN"/>
        </w:rPr>
        <w:t xml:space="preserve">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）本项目为非预留份额的采购项目，</w:t>
      </w:r>
      <w:r>
        <w:rPr>
          <w:rFonts w:hint="eastAsia" w:ascii="宋体" w:hAnsi="宋体" w:eastAsia="宋体" w:cs="宋体"/>
          <w:sz w:val="24"/>
          <w:szCs w:val="24"/>
          <w:highlight w:val="none"/>
        </w:rPr>
        <w:t xml:space="preserve">对小微企业报价给予扣除，用扣除后的价格参加评审，具体详见第二章“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须知”第36.1项</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宋体"/>
          <w:sz w:val="24"/>
          <w:szCs w:val="24"/>
          <w:highlight w:val="none"/>
          <w:lang w:val="zh-CN"/>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highlight w:val="none"/>
          <w:lang w:eastAsia="zh-CN"/>
        </w:rPr>
        <w:t xml:space="preserve">本项目的特定资格要求：</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lang w:val="en-US" w:eastAsia="zh-CN"/>
        </w:rPr>
      </w:r>
      <w:r/>
    </w:p>
    <w:p>
      <w:pPr>
        <w:pStyle w:val="663"/>
        <w:ind w:right="0" w:firstLine="482"/>
        <w:jc w:val="left"/>
        <w:keepLines w:val="0"/>
        <w:keepNext w:val="0"/>
        <w:pageBreakBefore w:val="0"/>
        <w:spacing w:line="500" w:lineRule="exact"/>
        <w:widowControl w:val="off"/>
        <w:rPr>
          <w:rFonts w:hint="eastAsia" w:ascii="宋体" w:hAnsi="宋体" w:eastAsia="宋体" w:cs="宋体"/>
          <w:highlight w:val="none"/>
        </w:rPr>
      </w:pP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资格要求以</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文件第六章第</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条资质审查时</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必须提交的资格证明文件为准。</w:t>
      </w:r>
      <w:r>
        <w:rPr>
          <w:rFonts w:hint="eastAsia" w:ascii="宋体" w:hAnsi="宋体" w:eastAsia="宋体" w:cs="宋体"/>
          <w:highlight w:val="none"/>
        </w:rPr>
      </w:r>
      <w:r/>
    </w:p>
    <w:p>
      <w:pPr>
        <w:pStyle w:val="663"/>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三、获取</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rPr>
        <w:t xml:space="preserve">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月</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北京时间）</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地点：江苏政府采购网或淮安市政府采购网</w:t>
      </w:r>
      <w:r>
        <w:rPr>
          <w:rFonts w:hint="eastAsia" w:ascii="宋体" w:hAnsi="宋体" w:eastAsia="宋体" w:cs="宋体"/>
          <w:sz w:val="24"/>
          <w:highlight w:val="none"/>
        </w:rPr>
      </w:r>
      <w:r/>
    </w:p>
    <w:p>
      <w:pPr>
        <w:pStyle w:val="663"/>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方式：</w:t>
      </w:r>
      <w:r>
        <w:rPr>
          <w:rFonts w:hint="eastAsia" w:ascii="宋体" w:hAnsi="宋体" w:eastAsia="宋体" w:cs="宋体"/>
          <w:sz w:val="24"/>
          <w:highlight w:val="none"/>
          <w:lang w:eastAsia="zh-CN"/>
        </w:rPr>
        <w:t xml:space="preserve">投标人登录江苏省</w:t>
      </w:r>
      <w:r>
        <w:rPr>
          <w:rFonts w:hint="eastAsia" w:ascii="宋体" w:hAnsi="宋体" w:eastAsia="宋体" w:cs="宋体"/>
          <w:sz w:val="24"/>
          <w:highlight w:val="none"/>
        </w:rPr>
        <w:t xml:space="preserve">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4"/>
          <w:highlight w:val="none"/>
        </w:rPr>
      </w:r>
      <w:r/>
    </w:p>
    <w:p>
      <w:pPr>
        <w:pStyle w:val="700"/>
        <w:ind w:right="0" w:firstLine="468"/>
        <w:jc w:val="left"/>
        <w:keepLines w:val="0"/>
        <w:keepNext w:val="0"/>
        <w:pageBreakBefore w:val="0"/>
        <w:spacing w:before="0" w:after="0" w:line="500" w:lineRule="exact"/>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售价：0.00元</w:t>
      </w:r>
      <w:r>
        <w:rPr>
          <w:rFonts w:hint="eastAsia" w:ascii="宋体" w:hAnsi="宋体" w:eastAsia="宋体" w:cs="宋体"/>
          <w:highlight w:val="none"/>
          <w:lang w:val="en-US" w:eastAsia="zh-CN"/>
        </w:rPr>
      </w:r>
      <w:r/>
    </w:p>
    <w:p>
      <w:pPr>
        <w:pStyle w:val="781"/>
        <w:ind w:right="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b/>
          <w:bCs/>
          <w:szCs w:val="24"/>
          <w:highlight w:val="none"/>
          <w:lang w:val="en-US"/>
        </w:rPr>
        <w:t xml:space="preserve">四、</w:t>
      </w:r>
      <w:r>
        <w:rPr>
          <w:rFonts w:hint="eastAsia" w:ascii="宋体" w:hAnsi="宋体" w:eastAsia="宋体" w:cs="宋体"/>
          <w:b/>
          <w:bCs/>
          <w:szCs w:val="24"/>
          <w:highlight w:val="none"/>
          <w:lang w:val="en-US" w:eastAsia="zh-CN"/>
        </w:rPr>
        <w:t xml:space="preserve">提交投标文件截止时间、开标时间和地点</w:t>
      </w:r>
      <w:r>
        <w:rPr>
          <w:rFonts w:hint="eastAsia" w:ascii="宋体" w:hAnsi="宋体" w:eastAsia="宋体" w:cs="宋体"/>
          <w:b/>
          <w:bCs/>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投标文件提交截止时间及开标时间：202</w:t>
      </w:r>
      <w:r>
        <w:rPr>
          <w:rFonts w:hint="eastAsia" w:ascii="宋体" w:hAnsi="宋体" w:eastAsia="宋体" w:cs="宋体"/>
          <w:szCs w:val="24"/>
          <w:highlight w:val="none"/>
          <w:lang w:val="en-US" w:eastAsia="zh-CN"/>
        </w:rPr>
        <w:t xml:space="preserve">6-2-5    </w:t>
      </w:r>
      <w:r>
        <w:rPr>
          <w:rFonts w:hint="eastAsia" w:ascii="宋体" w:hAnsi="宋体" w:eastAsia="宋体" w:cs="宋体"/>
          <w:szCs w:val="24"/>
          <w:highlight w:val="none"/>
          <w:lang w:val="en-US"/>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Cs w:val="24"/>
          <w:highlight w:val="none"/>
          <w:lang w:val="en-US"/>
        </w:rPr>
        <w:t xml:space="preserve">00</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北京时间）</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投标文件上传地址：“苏采云”政府采购交易系统网上开标大厅。</w:t>
      </w:r>
      <w:r>
        <w:rPr>
          <w:rFonts w:hint="eastAsia" w:ascii="宋体" w:hAnsi="宋体" w:eastAsia="宋体" w:cs="宋体"/>
          <w:szCs w:val="24"/>
          <w:highlight w:val="none"/>
          <w:lang w:val="en-US"/>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、公告期限</w:t>
      </w:r>
      <w:r>
        <w:rPr>
          <w:rFonts w:hint="eastAsia" w:ascii="宋体" w:hAnsi="宋体" w:eastAsia="宋体" w:cs="宋体"/>
          <w:b/>
          <w:bCs/>
          <w:sz w:val="24"/>
          <w:szCs w:val="24"/>
          <w:highlight w:val="none"/>
        </w:rPr>
      </w:r>
      <w:r/>
    </w:p>
    <w:p>
      <w:pPr>
        <w:pStyle w:val="663"/>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rPr>
          <w:rFonts w:hint="eastAsia" w:ascii="宋体" w:hAnsi="宋体" w:eastAsia="宋体" w:cs="宋体"/>
          <w:b/>
          <w:bCs/>
          <w:sz w:val="24"/>
          <w:szCs w:val="24"/>
          <w:highlight w:val="none"/>
        </w:rPr>
      </w:r>
      <w:r/>
    </w:p>
    <w:p>
      <w:pPr>
        <w:pStyle w:val="685"/>
        <w:ind w:left="0" w:right="0" w:firstLine="480"/>
        <w:jc w:val="left"/>
        <w:keepLines w:val="0"/>
        <w:keepNext w:val="0"/>
        <w:pageBreakBefore w:val="0"/>
        <w:spacing w:line="500" w:lineRule="exact"/>
        <w:widowControl w:val="off"/>
        <w:tabs>
          <w:tab w:val="center" w:pos="4153" w:leader="none"/>
          <w:tab w:val="right" w:pos="8306" w:leader="none"/>
        </w:tabs>
        <w:rPr>
          <w:rFonts w:hint="eastAsia" w:ascii="宋体" w:hAnsi="宋体" w:eastAsia="宋体" w:cs="宋体"/>
          <w:sz w:val="24"/>
          <w:szCs w:val="24"/>
          <w:highlight w:val="none"/>
          <w:lang w:val="en-US"/>
        </w:rPr>
        <w:outlineLvl w:val="9"/>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本项目采用不见面电子投标。请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严格按照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en-US"/>
        </w:rPr>
        <w:t xml:space="preserve">文件的规定编制、提交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rPr>
        <w:t xml:space="preserve">文件，否则所造成的一切后果由</w:t>
      </w:r>
      <w:r>
        <w:rPr>
          <w:rFonts w:hint="eastAsia" w:ascii="宋体" w:hAnsi="宋体" w:eastAsia="宋体" w:cs="宋体"/>
          <w:sz w:val="24"/>
          <w:szCs w:val="24"/>
          <w:highlight w:val="none"/>
          <w:lang w:val="en-US" w:eastAsia="zh-CN"/>
        </w:rPr>
        <w:t xml:space="preserve">投标投标人</w:t>
      </w:r>
      <w:r>
        <w:rPr>
          <w:rFonts w:hint="eastAsia" w:ascii="宋体" w:hAnsi="宋体" w:eastAsia="宋体" w:cs="宋体"/>
          <w:sz w:val="24"/>
          <w:szCs w:val="24"/>
          <w:highlight w:val="none"/>
          <w:lang w:val="en-US"/>
        </w:rPr>
        <w:t xml:space="preserve">自负。</w:t>
      </w:r>
      <w:r>
        <w:rPr>
          <w:rFonts w:hint="eastAsia" w:ascii="宋体" w:hAnsi="宋体" w:eastAsia="宋体" w:cs="宋体"/>
          <w:sz w:val="24"/>
          <w:szCs w:val="24"/>
          <w:highlight w:val="none"/>
          <w:lang w:val="en-US"/>
        </w:rPr>
      </w:r>
      <w:r/>
    </w:p>
    <w:p>
      <w:pPr>
        <w:pStyle w:val="685"/>
        <w:ind w:left="0" w:right="0" w:firstLine="480"/>
        <w:jc w:val="left"/>
        <w:keepLines w:val="0"/>
        <w:keepNext w:val="0"/>
        <w:pageBreakBefore w:val="0"/>
        <w:spacing w:line="500" w:lineRule="exact"/>
        <w:widowControl w:val="off"/>
        <w:tabs>
          <w:tab w:val="center" w:pos="4153" w:leader="none"/>
          <w:tab w:val="right" w:pos="8306" w:leader="none"/>
        </w:tabs>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rPr>
        <w:t xml:space="preserve">本项目无需</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en-US"/>
        </w:rPr>
        <w:t xml:space="preserve">保证金。</w:t>
      </w:r>
      <w:r>
        <w:rPr>
          <w:rFonts w:hint="eastAsia" w:ascii="宋体" w:hAnsi="宋体" w:eastAsia="宋体" w:cs="宋体"/>
          <w:sz w:val="24"/>
          <w:szCs w:val="24"/>
          <w:highlight w:val="none"/>
          <w:lang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szCs w:val="24"/>
          <w:highlight w:val="none"/>
          <w:lang w:val="en-US"/>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本项目仅采购非进口产品（注</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本文件所称进口产品是指通过中国海关报关验放进入中国境内且产自关境外的产品）。</w:t>
      </w:r>
      <w:r>
        <w:rPr>
          <w:rFonts w:hint="eastAsia" w:ascii="宋体" w:hAnsi="宋体" w:eastAsia="宋体" w:cs="宋体"/>
          <w:b/>
          <w:bCs/>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4</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代理（下称代理人）：采购人委托</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val="en-US"/>
        </w:rPr>
        <w:t xml:space="preserve">负责代理本次</w:t>
      </w:r>
      <w:r>
        <w:rPr>
          <w:rFonts w:hint="eastAsia" w:ascii="宋体" w:hAnsi="宋体" w:eastAsia="宋体" w:cs="宋体"/>
          <w:szCs w:val="24"/>
          <w:highlight w:val="none"/>
          <w:lang w:val="en-US" w:eastAsia="zh-CN"/>
        </w:rPr>
        <w:t xml:space="preserve">投标</w:t>
      </w:r>
      <w:r>
        <w:rPr>
          <w:rFonts w:hint="eastAsia" w:ascii="宋体" w:hAnsi="宋体" w:eastAsia="宋体" w:cs="宋体"/>
          <w:szCs w:val="24"/>
          <w:highlight w:val="none"/>
          <w:lang w:val="en-US"/>
        </w:rPr>
        <w:t xml:space="preserve">的相关事宜。</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5</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w:t>
      </w:r>
      <w:r>
        <w:rPr>
          <w:rFonts w:hint="eastAsia" w:ascii="宋体" w:hAnsi="宋体" w:eastAsia="宋体" w:cs="宋体"/>
          <w:szCs w:val="24"/>
          <w:highlight w:val="none"/>
          <w:lang w:val="en-US" w:eastAsia="zh-CN"/>
        </w:rPr>
        <w:t xml:space="preserve">参照苏政采协【2024】20号文件规定标准的80%</w:t>
      </w:r>
      <w:r>
        <w:rPr>
          <w:rFonts w:hint="eastAsia" w:ascii="宋体" w:hAnsi="宋体" w:eastAsia="宋体" w:cs="宋体"/>
          <w:szCs w:val="24"/>
          <w:highlight w:val="none"/>
          <w:lang w:val="en-US"/>
        </w:rPr>
        <w:t xml:space="preserve">为此次项目的招标代理费，成交</w:t>
      </w:r>
      <w:r>
        <w:rPr>
          <w:rFonts w:hint="eastAsia" w:ascii="宋体" w:hAnsi="宋体" w:eastAsia="宋体" w:cs="宋体"/>
          <w:szCs w:val="24"/>
          <w:highlight w:val="none"/>
          <w:lang w:val="en-US" w:eastAsia="zh-CN"/>
        </w:rPr>
        <w:t xml:space="preserve">投标人</w:t>
      </w:r>
      <w:r>
        <w:rPr>
          <w:rFonts w:hint="eastAsia" w:ascii="宋体" w:hAnsi="宋体" w:eastAsia="宋体" w:cs="宋体"/>
          <w:szCs w:val="24"/>
          <w:highlight w:val="none"/>
          <w:lang w:val="en-US"/>
        </w:rPr>
        <w:t xml:space="preserve">应在</w:t>
      </w:r>
      <w:r>
        <w:rPr>
          <w:rFonts w:hint="eastAsia" w:ascii="宋体" w:hAnsi="宋体" w:eastAsia="宋体" w:cs="宋体"/>
          <w:szCs w:val="24"/>
          <w:highlight w:val="none"/>
          <w:lang w:val="en-US" w:eastAsia="zh-CN"/>
        </w:rPr>
        <w:t xml:space="preserve">成交</w:t>
      </w:r>
      <w:r>
        <w:rPr>
          <w:rFonts w:hint="eastAsia" w:ascii="宋体" w:hAnsi="宋体" w:eastAsia="宋体" w:cs="宋体"/>
          <w:szCs w:val="24"/>
          <w:highlight w:val="none"/>
          <w:lang w:val="en-US"/>
        </w:rPr>
        <w:t xml:space="preserve">通知书发放后五个工作日内向招标代理人一次性缴纳</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代理费。此费用包含在投标报价中，不单独列项。（无法计算中标总额的项目，按预算总价计算）</w:t>
      </w:r>
      <w:r>
        <w:rPr>
          <w:rFonts w:hint="eastAsia" w:ascii="宋体" w:hAnsi="宋体" w:eastAsia="宋体" w:cs="宋体"/>
          <w:szCs w:val="24"/>
          <w:highlight w:val="none"/>
          <w:lang w:val="en-US"/>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6.本项目采购标的对应的中小企业划分标准所属行业为</w:t>
      </w:r>
      <w:r>
        <w:rPr>
          <w:rFonts w:hint="eastAsia" w:ascii="宋体" w:hAnsi="宋体" w:eastAsia="宋体" w:cs="宋体"/>
          <w:b/>
          <w:bCs/>
          <w:highlight w:val="none"/>
          <w:u w:val="single"/>
          <w:lang w:val="en-US" w:eastAsia="zh-CN"/>
        </w:rPr>
        <w:t xml:space="preserve">其他未列明行业</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通过苏采云系统参与政府采购项目，需要更换CA数字证书和电子签章。具体办理指南和操作手册见链接：http://www.ccgp-jiangsu.gov.cn/jiangsu/zl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z/ee/ee3a4bc5a3454aa2b0d9312230633ce9.html。</w:t>
      </w:r>
      <w:r>
        <w:rPr>
          <w:rFonts w:hint="eastAsia" w:ascii="宋体" w:hAnsi="宋体" w:eastAsia="宋体" w:cs="宋体"/>
          <w:highlight w:val="none"/>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highlight w:val="none"/>
        </w:rPr>
        <w:t xml:space="preserve">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操作手册》（以下简称《操作手册》）、进行注册并按《操作手册》要求制作、上传电子响应文件。</w:t>
      </w:r>
      <w:r>
        <w:rPr>
          <w:rFonts w:hint="eastAsia" w:ascii="宋体" w:hAnsi="宋体" w:eastAsia="宋体" w:cs="宋体"/>
          <w:highlight w:val="none"/>
        </w:rPr>
      </w:r>
      <w:r/>
    </w:p>
    <w:p>
      <w:pPr>
        <w:pStyle w:val="690"/>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在“江苏省政府采购网”、“淮安市政府采购网”发布的更正公告。</w:t>
      </w:r>
      <w:r>
        <w:rPr>
          <w:rFonts w:hint="eastAsia" w:ascii="宋体" w:hAnsi="宋体" w:eastAsia="宋体" w:cs="宋体"/>
          <w:highlight w:val="none"/>
        </w:rPr>
      </w:r>
      <w:r/>
    </w:p>
    <w:p>
      <w:pPr>
        <w:pStyle w:val="663"/>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八、凡</w:t>
      </w:r>
      <w:r>
        <w:rPr>
          <w:rFonts w:hint="eastAsia" w:ascii="宋体" w:hAnsi="宋体" w:eastAsia="宋体" w:cs="宋体"/>
          <w:b/>
          <w:bCs/>
          <w:sz w:val="24"/>
          <w:szCs w:val="24"/>
          <w:highlight w:val="none"/>
        </w:rPr>
        <w:t xml:space="preserve">对本次采购提出询问，请按以下方式联系。</w:t>
      </w:r>
      <w:r>
        <w:rPr>
          <w:rFonts w:hint="eastAsia" w:ascii="宋体" w:hAnsi="宋体" w:eastAsia="宋体" w:cs="宋体"/>
          <w:b/>
          <w:bCs/>
          <w:sz w:val="24"/>
          <w:szCs w:val="24"/>
          <w:highlight w:val="none"/>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1</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采购人信息</w:t>
      </w:r>
      <w:r>
        <w:rPr>
          <w:rFonts w:hint="eastAsia" w:ascii="宋体" w:hAnsi="宋体" w:eastAsia="宋体" w:cs="宋体"/>
          <w:szCs w:val="24"/>
          <w:highlight w:val="none"/>
          <w:lang w:val="en-US"/>
        </w:rPr>
      </w:r>
      <w:r/>
    </w:p>
    <w:p>
      <w:pPr>
        <w:pStyle w:val="663"/>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江苏金湖经济开发区管理委员会</w:t>
      </w:r>
      <w:r>
        <w:rPr>
          <w:rFonts w:hint="eastAsia"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单位地址：江苏省淮安市金湖县金湖西路188号</w:t>
      </w:r>
      <w:r>
        <w:rPr>
          <w:rFonts w:hint="eastAsia"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联系人：盛金春</w:t>
      </w:r>
      <w:r>
        <w:rPr>
          <w:rFonts w:ascii="宋体" w:hAnsi="宋体" w:eastAsia="宋体" w:cs="宋体"/>
          <w:sz w:val="24"/>
          <w:highlight w:val="none"/>
          <w:lang w:val="en-US" w:eastAsia="zh-CN"/>
        </w:rPr>
      </w:r>
      <w:r/>
    </w:p>
    <w:p>
      <w:pPr>
        <w:pStyle w:val="663"/>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联系电话：18262704603</w:t>
      </w:r>
      <w:r>
        <w:rPr>
          <w:rFonts w:ascii="宋体" w:hAnsi="宋体" w:eastAsia="宋体" w:cs="宋体"/>
          <w:sz w:val="24"/>
          <w:highlight w:val="none"/>
          <w:lang w:val="en-US" w:eastAsia="zh-CN"/>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b/>
          <w:bCs/>
          <w:szCs w:val="24"/>
          <w:highlight w:val="none"/>
          <w:lang w:val="en-US"/>
        </w:rPr>
        <w:t xml:space="preserve">2</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采购代理机构信息</w:t>
      </w:r>
      <w:r>
        <w:rPr>
          <w:rFonts w:hint="eastAsia" w:ascii="宋体" w:hAnsi="宋体" w:eastAsia="宋体" w:cs="宋体"/>
          <w:szCs w:val="24"/>
          <w:highlight w:val="none"/>
          <w:lang w:val="en-US" w:eastAsia="zh-CN"/>
        </w:rPr>
      </w:r>
      <w:r/>
    </w:p>
    <w:p>
      <w:pPr>
        <w:pStyle w:val="690"/>
        <w:ind w:left="0"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szCs w:val="24"/>
          <w:highlight w:val="none"/>
          <w:lang w:eastAsia="zh-CN"/>
        </w:rPr>
        <w:outlineLvl w:val="9"/>
      </w:pPr>
      <w:r>
        <w:rPr>
          <w:rFonts w:hint="eastAsia" w:ascii="宋体" w:hAnsi="宋体" w:eastAsia="宋体" w:cs="宋体"/>
          <w:szCs w:val="24"/>
          <w:highlight w:val="none"/>
          <w:lang w:val="en-US" w:eastAsia="zh-CN"/>
        </w:rPr>
        <w:t xml:space="preserve">单位名称</w:t>
      </w:r>
      <w:r>
        <w:rPr>
          <w:rFonts w:hint="eastAsia" w:ascii="宋体" w:hAnsi="宋体" w:eastAsia="宋体" w:cs="宋体"/>
          <w:szCs w:val="24"/>
          <w:highlight w:val="none"/>
        </w:rPr>
        <w:t xml:space="preserve">：</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金湖县金湖西路利达大厦三单元407室</w:t>
      </w:r>
      <w:r>
        <w:rPr>
          <w:rFonts w:hint="eastAsia" w:ascii="宋体" w:hAnsi="宋体" w:eastAsia="宋体" w:cs="宋体"/>
          <w:szCs w:val="24"/>
          <w:highlight w:val="none"/>
          <w:lang w:val="en-US"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赵建亚</w:t>
      </w:r>
      <w:r>
        <w:rPr>
          <w:rFonts w:hint="eastAsia" w:ascii="宋体" w:hAnsi="宋体" w:eastAsia="宋体" w:cs="宋体"/>
          <w:szCs w:val="24"/>
          <w:highlight w:val="none"/>
          <w:lang w:val="en-US" w:eastAsia="zh-CN"/>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联系电话</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0517-86898966</w:t>
      </w:r>
      <w:r>
        <w:rPr>
          <w:rFonts w:hint="eastAsia" w:ascii="宋体" w:hAnsi="宋体" w:eastAsia="宋体" w:cs="宋体"/>
          <w:szCs w:val="24"/>
          <w:highlight w:val="none"/>
          <w:lang w:val="en-US" w:eastAsia="zh-CN"/>
        </w:rPr>
      </w:r>
      <w:r/>
    </w:p>
    <w:p>
      <w:pPr>
        <w:pStyle w:val="781"/>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3</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项目联系方式</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赵建亚</w:t>
      </w:r>
      <w:r>
        <w:rPr>
          <w:rFonts w:hint="eastAsia" w:ascii="宋体" w:hAnsi="宋体" w:eastAsia="宋体" w:cs="宋体"/>
          <w:szCs w:val="24"/>
          <w:highlight w:val="none"/>
          <w:lang w:val="en-US"/>
        </w:rPr>
      </w:r>
      <w:r/>
    </w:p>
    <w:p>
      <w:pPr>
        <w:pStyle w:val="781"/>
        <w:ind w:left="0" w:right="0" w:firstLine="480"/>
        <w:jc w:val="left"/>
        <w:keepLines w:val="0"/>
        <w:keepNext w:val="0"/>
        <w:pageBreakBefore w:val="0"/>
        <w:spacing w:line="500" w:lineRule="exact"/>
        <w:widowControl w:val="off"/>
        <w:rPr>
          <w:rFonts w:hint="eastAsia" w:ascii="宋体" w:hAnsi="宋体" w:eastAsia="宋体" w:cs="宋体"/>
          <w:bCs/>
          <w:sz w:val="32"/>
          <w:szCs w:val="32"/>
          <w:highlight w:val="none"/>
        </w:rPr>
        <w:outlineLvl w:val="9"/>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0517-86898966</w:t>
      </w:r>
      <w:r>
        <w:rPr>
          <w:rFonts w:hint="eastAsia" w:ascii="宋体" w:hAnsi="宋体" w:eastAsia="宋体" w:cs="宋体"/>
          <w:bCs/>
          <w:sz w:val="32"/>
          <w:szCs w:val="32"/>
          <w:highlight w:val="none"/>
        </w:rPr>
      </w:r>
      <w:r/>
    </w:p>
    <w:p>
      <w:pPr>
        <w:pStyle w:val="663"/>
        <w:numPr>
          <w:ilvl w:val="0"/>
          <w:numId w:val="0"/>
        </w:num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1" w:name="_Toc25315"/>
      <w:r>
        <w:rPr>
          <w:rFonts w:hint="eastAsia" w:ascii="宋体" w:hAnsi="宋体" w:eastAsia="宋体" w:cs="宋体"/>
          <w:b/>
          <w:bCs/>
          <w:sz w:val="32"/>
          <w:szCs w:val="32"/>
          <w:highlight w:val="none"/>
          <w:lang w:val="en-US" w:eastAsia="zh-CN"/>
        </w:rPr>
        <w:t xml:space="preserve">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须知</w:t>
      </w:r>
      <w:bookmarkEnd w:id="1"/>
      <w:r>
        <w:rPr>
          <w:rFonts w:hint="eastAsia" w:ascii="宋体" w:hAnsi="宋体" w:eastAsia="宋体" w:cs="宋体"/>
          <w:b/>
          <w:bCs/>
          <w:sz w:val="32"/>
          <w:szCs w:val="32"/>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1.适用范围</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本招标文件仅适用于本次投标邀请中所述项目的采购。</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2.合格的</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lang w:eastAsia="zh-CN"/>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2.1满足第一章投标邀请中投标人资格要求的规定。</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2.2满足招标文件中实质性条款的规定。</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3.1《中华人民共和国政府采购法》、《中华人民共和国政府采购法实施条例》、《政府采购货物和服务招标投标管理办法》等有关法律、规章和规定等。</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费用</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应自行承担所有与参加</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有关的费用。不论</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的结果如何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采购人（代理机构）在任何情况下均无义务和责任承担这些费用。</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4.2采购代理（下称代理机构）：采购人委托</w:t>
      </w:r>
      <w:r>
        <w:rPr>
          <w:rFonts w:hint="eastAsia" w:ascii="宋体" w:hAnsi="宋体" w:eastAsia="宋体" w:cs="宋体"/>
          <w:bCs/>
          <w:sz w:val="24"/>
          <w:szCs w:val="24"/>
          <w:highlight w:val="none"/>
          <w:lang w:eastAsia="zh-CN"/>
        </w:rPr>
        <w:t xml:space="preserve">江苏四维工程咨询管理有限公司</w:t>
      </w:r>
      <w:r>
        <w:rPr>
          <w:rFonts w:hint="eastAsia" w:ascii="宋体" w:hAnsi="宋体" w:eastAsia="宋体" w:cs="宋体"/>
          <w:bCs/>
          <w:sz w:val="24"/>
          <w:szCs w:val="24"/>
          <w:highlight w:val="none"/>
        </w:rPr>
        <w:t xml:space="preserve">负责代理本项目的相关事宜。</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4.3采购代理机构服务费：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lang w:eastAsia="zh-CN"/>
        </w:rPr>
        <w:t xml:space="preserve">人参照苏政采协【2024】20号文件规定标准的8</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eastAsia="zh-CN"/>
        </w:rPr>
        <w:t xml:space="preserve">%，作</w:t>
      </w:r>
      <w:r>
        <w:rPr>
          <w:rFonts w:hint="eastAsia" w:ascii="宋体" w:hAnsi="宋体" w:eastAsia="宋体" w:cs="宋体"/>
          <w:bCs/>
          <w:sz w:val="24"/>
          <w:szCs w:val="24"/>
          <w:highlight w:val="none"/>
        </w:rPr>
        <w:t xml:space="preserve">为本次项目的采购代理机构服务费。本项目由采购代理机构协助采购人完成此项目，中标人应在成交通知书发放后五个工作日内向招标代理人一次性缴纳采购代理费，此费用须包含在报价中，无须单独列项计取。（无法计算中标总额的项目，按预算总价计算）</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4.4本次项目不收取文件工本费和成交管理费。</w:t>
      </w:r>
      <w:r>
        <w:rPr>
          <w:rFonts w:hint="eastAsia" w:ascii="宋体" w:hAnsi="宋体" w:eastAsia="宋体" w:cs="宋体"/>
          <w:bCs/>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文件由以下部分组成</w:t>
      </w:r>
      <w:r>
        <w:rPr>
          <w:rFonts w:hint="eastAsia" w:ascii="宋体" w:hAnsi="宋体" w:eastAsia="宋体" w:cs="宋体"/>
          <w:b/>
          <w:bCs/>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5.1投标邀请</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5.2投标人须知</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5.3评标标准</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5.4合同格式及条款</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5.5项目采购需求</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5.6投标文件格式</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文件的澄清</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6.1任何对招标文件要求澄清的投标人，均应在递交投标文件截止时间十日前以书面形式通知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或代理机构（在递送书面文件的同时请投标人将电</w:t>
      </w:r>
      <w:r>
        <w:rPr>
          <w:rFonts w:hint="eastAsia" w:ascii="宋体" w:hAnsi="宋体" w:eastAsia="宋体" w:cs="宋体"/>
          <w:sz w:val="24"/>
          <w:szCs w:val="24"/>
          <w:highlight w:val="none"/>
          <w:lang w:eastAsia="zh-CN"/>
        </w:rPr>
        <w:t xml:space="preserve">子文</w:t>
      </w:r>
      <w:r>
        <w:rPr>
          <w:rFonts w:hint="eastAsia" w:ascii="宋体" w:hAnsi="宋体" w:eastAsia="宋体" w:cs="宋体"/>
          <w:sz w:val="24"/>
          <w:szCs w:val="24"/>
          <w:highlight w:val="none"/>
        </w:rPr>
        <w:t xml:space="preserve">件一并发送给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或代理机构无法通知的其责任由投标人自行承担（逾期递交对招标文件要求进行澄清的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或代理机构将不予受理）。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文件的更正或补充</w:t>
      </w:r>
      <w:r>
        <w:rPr>
          <w:rFonts w:hint="eastAsia" w:ascii="宋体" w:hAnsi="宋体" w:eastAsia="宋体" w:cs="宋体"/>
          <w:b/>
          <w:bCs/>
          <w:sz w:val="24"/>
          <w:szCs w:val="24"/>
          <w:highlight w:val="none"/>
          <w:lang w:val="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7.1在投标截止时间十五日前，采购人（代理机构）可主动或在解答投标人提出的澄清问题时对招标文件用更正公告的方式进行修正。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同时通过电子交易平台通知所有已获取招标文件的投标人。更正公告将作为招标文件的组成部分，对所有参加本次投标的投标人都具有约束力。</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7.4为使投标人有足够的时间按招标文件的更正要求修正投标文件，采购人（代理机构）有权按照相关法定的要求推迟投标截止时间和开标日期。</w:t>
      </w:r>
      <w:r>
        <w:rPr>
          <w:rFonts w:hint="eastAsia" w:ascii="宋体" w:hAnsi="宋体" w:eastAsia="宋体" w:cs="宋体"/>
          <w:sz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三、投标文件的编制</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 w:name="_Toc16938530"/>
      <w:r/>
      <w:bookmarkStart w:id="3" w:name="_Toc20823286"/>
      <w:r/>
      <w:bookmarkStart w:id="4" w:name="_Toc462564073"/>
      <w:r/>
      <w:bookmarkStart w:id="5" w:name="_Toc513029214"/>
      <w:r>
        <w:rPr>
          <w:rFonts w:hint="eastAsia" w:ascii="宋体" w:hAnsi="宋体" w:eastAsia="宋体" w:cs="宋体"/>
          <w:b/>
          <w:bCs/>
          <w:sz w:val="24"/>
          <w:szCs w:val="24"/>
          <w:highlight w:val="none"/>
          <w:lang w:eastAsia="zh-CN"/>
        </w:rPr>
        <w:t xml:space="preserve">8.</w:t>
      </w:r>
      <w:bookmarkEnd w:id="2"/>
      <w:r/>
      <w:bookmarkEnd w:id="3"/>
      <w:r/>
      <w:bookmarkEnd w:id="4"/>
      <w:r/>
      <w:bookmarkEnd w:id="5"/>
      <w:r>
        <w:rPr>
          <w:rFonts w:hint="eastAsia" w:ascii="宋体" w:hAnsi="宋体" w:eastAsia="宋体" w:cs="宋体"/>
          <w:b/>
          <w:bCs/>
          <w:sz w:val="24"/>
          <w:szCs w:val="24"/>
          <w:highlight w:val="none"/>
        </w:rPr>
        <w:t xml:space="preserve">投标文件的语言及度量衡单位</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投标人提交的投标文件以及投标人与采购中心就有关投标的所有来往通知、函件和文件均应使用简体中文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8.2除技术性能另有规定外，投标文件所使用的度量衡单位，均须采用国家法定计量单位。</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6" w:name="_Toc462564074"/>
      <w:r/>
      <w:bookmarkStart w:id="7" w:name="_Toc20823287"/>
      <w:r/>
      <w:bookmarkStart w:id="8" w:name="_Toc16938531"/>
      <w:r/>
      <w:bookmarkStart w:id="9" w:name="_Toc513029215"/>
      <w:r>
        <w:rPr>
          <w:rFonts w:hint="eastAsia" w:ascii="宋体" w:hAnsi="宋体" w:eastAsia="宋体" w:cs="宋体"/>
          <w:b/>
          <w:bCs/>
          <w:sz w:val="24"/>
          <w:szCs w:val="24"/>
          <w:highlight w:val="none"/>
          <w:lang w:eastAsia="zh-CN"/>
        </w:rPr>
        <w:t xml:space="preserve">9.</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文件构成</w:t>
      </w:r>
      <w:bookmarkEnd w:id="6"/>
      <w:r/>
      <w:bookmarkEnd w:id="7"/>
      <w:r/>
      <w:bookmarkEnd w:id="8"/>
      <w:r/>
      <w:bookmarkEnd w:id="9"/>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eastAsia="zh-CN"/>
        </w:rPr>
        <w:t xml:space="preserve">投标投标人</w:t>
      </w:r>
      <w:r>
        <w:rPr>
          <w:rFonts w:hint="eastAsia" w:ascii="宋体" w:hAnsi="宋体" w:eastAsia="宋体" w:cs="宋体"/>
          <w:sz w:val="24"/>
          <w:szCs w:val="24"/>
          <w:highlight w:val="none"/>
        </w:rPr>
        <w:t xml:space="preserve">编写的响应文件应按</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文件第六章“响应文件格式”中的要求进行编写。</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lang w:eastAsia="zh-CN"/>
        </w:rPr>
        <w:t xml:space="preserve">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如标书制作工具中格式和内容与“江苏省政府采购网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文件不一致，请以“江苏省政府采购网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文件为准。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0" w:name="_Toc513029219"/>
      <w:r/>
      <w:bookmarkStart w:id="11" w:name="_Toc49090509"/>
      <w:r/>
      <w:bookmarkStart w:id="12" w:name="_Toc14577357"/>
      <w:r/>
      <w:bookmarkStart w:id="13" w:name="_Toc49090507"/>
      <w:r/>
      <w:bookmarkStart w:id="14" w:name="_Toc513029216"/>
      <w:r/>
      <w:bookmarkStart w:id="15" w:name="_Toc14577354"/>
      <w:r/>
      <w:bookmarkStart w:id="16" w:name="_Toc49090508"/>
      <w:r/>
      <w:bookmarkStart w:id="17" w:name="_Toc14577355"/>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rPr>
        <w:t xml:space="preserve">证明</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响应标的符合</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文件规定的文件</w:t>
      </w:r>
      <w:bookmarkEnd w:id="10"/>
      <w:r/>
      <w:bookmarkEnd w:id="11"/>
      <w:r/>
      <w:bookmarkEnd w:id="12"/>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End w:id="13"/>
      <w:r/>
      <w:bookmarkEnd w:id="14"/>
      <w:r/>
      <w:bookmarkEnd w:id="15"/>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eastAsia="zh-CN"/>
        </w:rPr>
        <w:t xml:space="preserve">投标人应按照招标文件要求提交证明文件，证明其及投标标的符合招标文件规定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eastAsia="zh-CN"/>
        </w:rPr>
        <w:t xml:space="preserve">招标文件对证明文件无明确形式要求的，证明文件可以以文字资料、图纸和数据等形式提交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bookmarkEnd w:id="16"/>
      <w:r/>
      <w:bookmarkEnd w:id="17"/>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en-US" w:eastAsia="zh-CN"/>
        </w:rPr>
        <w:t xml:space="preserve">投标报价</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11.2投标人的任何错漏、优惠、竞争性报价不得作为减轻责任、减少服务、增加收费、降低质量的理由。</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11.3采购人不接受备选的方案或有选择的报价。</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11.4投标报价应以人民币为货币单位。</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8" w:name="_Hlt26670486"/>
      <w:r/>
      <w:bookmarkEnd w:id="18"/>
      <w:r/>
      <w:bookmarkStart w:id="19" w:name="_Hlt26954848"/>
      <w:r/>
      <w:bookmarkEnd w:id="19"/>
      <w:r/>
      <w:bookmarkStart w:id="20" w:name="_Hlt26954846"/>
      <w:r/>
      <w:bookmarkEnd w:id="20"/>
      <w:r/>
      <w:bookmarkStart w:id="21" w:name="_Hlt26954731"/>
      <w:r/>
      <w:bookmarkEnd w:id="21"/>
      <w:r/>
      <w:bookmarkStart w:id="22" w:name="_Hlt26670482"/>
      <w:r/>
      <w:bookmarkEnd w:id="22"/>
      <w:r>
        <w:rPr>
          <w:rFonts w:hint="eastAsia" w:ascii="宋体" w:hAnsi="宋体" w:eastAsia="宋体" w:cs="宋体"/>
          <w:b/>
          <w:bCs/>
          <w:sz w:val="24"/>
          <w:szCs w:val="24"/>
          <w:highlight w:val="none"/>
        </w:rPr>
        <w:t xml:space="preserve">12.技术要求响应及偏离表、商务要求响应及偏离表（如有）</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eastAsia="zh-CN"/>
        </w:rPr>
        <w:t xml:space="preserve">投标人需对招标文件中的技术要求与商务要求逐项作出响应或偏离，并说明原因，</w:t>
      </w:r>
      <w:r>
        <w:rPr>
          <w:rFonts w:hint="eastAsia" w:ascii="宋体" w:hAnsi="宋体" w:eastAsia="宋体" w:cs="宋体"/>
          <w:sz w:val="24"/>
          <w:szCs w:val="24"/>
          <w:highlight w:val="none"/>
        </w:rPr>
        <w:t xml:space="preserve">否则将被拒绝。</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sz w:val="24"/>
          <w:szCs w:val="24"/>
          <w:highlight w:val="none"/>
          <w:lang w:eastAsia="zh-CN"/>
        </w:rPr>
        <w:t xml:space="preserve">投标人可在投标文件中提供认为需要的其他技术文件或说明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13.服务承诺、培训计划、人员安排及其他（如有）</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eastAsia="zh-CN"/>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w:t>
      </w:r>
      <w:r>
        <w:rPr>
          <w:rFonts w:hint="eastAsia" w:ascii="宋体" w:hAnsi="宋体" w:eastAsia="宋体" w:cs="宋体"/>
          <w:sz w:val="24"/>
          <w:szCs w:val="24"/>
          <w:highlight w:val="none"/>
          <w:lang w:eastAsia="zh-CN"/>
        </w:rPr>
        <w:t xml:space="preserve">投标人需根据招标文件要求提供培训计划</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w:t>
      </w:r>
      <w:r>
        <w:rPr>
          <w:rFonts w:hint="eastAsia" w:ascii="宋体" w:hAnsi="宋体" w:eastAsia="宋体" w:cs="宋体"/>
          <w:sz w:val="24"/>
          <w:szCs w:val="24"/>
          <w:highlight w:val="none"/>
          <w:lang w:eastAsia="zh-CN"/>
        </w:rPr>
        <w:t xml:space="preserve">投标人需根据招标文件要求提供所投标的的主要组成部分、功能设计、实现思路及关键技术等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3" w:name="_Toc14577359"/>
      <w:r/>
      <w:bookmarkStart w:id="24" w:name="_Toc49090510"/>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eastAsia="zh-CN"/>
        </w:rPr>
        <w:t xml:space="preserve">投标函和开标一览表</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eastAsia="zh-CN"/>
        </w:rPr>
        <w:t xml:space="preserve">投标人应按照招标文件中提供的格式完整、正确填写投标函、开标一览表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bookmarkEnd w:id="23"/>
      <w:r/>
      <w:bookmarkEnd w:id="24"/>
      <w:r>
        <w:rPr>
          <w:rFonts w:hint="eastAsia" w:ascii="宋体" w:hAnsi="宋体" w:eastAsia="宋体" w:cs="宋体"/>
          <w:b/>
          <w:bCs/>
          <w:sz w:val="24"/>
          <w:szCs w:val="24"/>
          <w:highlight w:val="none"/>
          <w:lang w:val="en-US" w:eastAsia="zh-CN"/>
        </w:rPr>
        <w:t xml:space="preserve">15.投标保证金</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b/>
          <w:bCs/>
          <w:sz w:val="24"/>
          <w:szCs w:val="24"/>
          <w:highlight w:val="none"/>
          <w:lang w:val="en-US" w:eastAsia="zh-CN"/>
        </w:rPr>
        <w:t xml:space="preserve">本项目无需缴纳投标保证金</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16.方案部分（如果本项目涉及的话）</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16.1本项目评标标准中的方案部分是否采用暗标方式进行评审</w:t>
      </w:r>
      <w:r>
        <w:rPr>
          <w:rFonts w:hint="eastAsia" w:ascii="宋体" w:hAnsi="宋体" w:eastAsia="宋体" w:cs="宋体"/>
          <w:bCs/>
          <w:sz w:val="24"/>
          <w:szCs w:val="24"/>
          <w:highlight w:val="none"/>
        </w:rPr>
      </w:r>
      <w:r/>
    </w:p>
    <w:p>
      <w:pPr>
        <w:pStyle w:val="663"/>
        <w:ind w:left="0" w:right="0" w:firstLine="480"/>
        <w:jc w:val="center"/>
        <w:keepLines w:val="0"/>
        <w:keepNext w:val="0"/>
        <w:pageBreakBefore w:val="0"/>
        <w:spacing w:line="400" w:lineRule="exact"/>
        <w:widowControl w:val="off"/>
        <w:rPr>
          <w:rFonts w:hint="eastAsia" w:ascii="宋体" w:hAnsi="宋体" w:eastAsia="宋体" w:cs="宋体"/>
          <w:bCs/>
          <w:sz w:val="24"/>
          <w:szCs w:val="24"/>
          <w:highlight w:val="none"/>
        </w:rPr>
      </w:pPr>
      <w:r>
        <w:rPr>
          <w:rFonts w:ascii="Wingdings 2" w:hAnsi="Wingdings 2" w:eastAsia="Wingdings 2" w:cs="Wingdings 2"/>
          <w:sz w:val="24"/>
          <w:highlight w:val="none"/>
        </w:rPr>
        <w:t xml:space="preserve">R</w:t>
      </w:r>
      <w:r>
        <w:rPr>
          <w:rFonts w:hint="eastAsia" w:ascii="宋体" w:hAnsi="宋体" w:eastAsia="宋体" w:cs="宋体"/>
          <w:bCs/>
          <w:sz w:val="24"/>
          <w:szCs w:val="24"/>
          <w:highlight w:val="none"/>
        </w:rPr>
        <w:t xml:space="preserve">不采用        </w:t>
      </w:r>
      <w:r>
        <w:rPr>
          <w:rFonts w:ascii="Wingdings 2" w:hAnsi="Wingdings 2" w:eastAsia="Wingdings 2" w:cs="Wingdings 2"/>
          <w:sz w:val="24"/>
          <w:highlight w:val="none"/>
        </w:rPr>
        <w:t xml:space="preserve">£</w:t>
      </w:r>
      <w:r>
        <w:rPr>
          <w:rFonts w:hint="eastAsia" w:ascii="宋体" w:hAnsi="宋体" w:eastAsia="宋体" w:cs="宋体"/>
          <w:bCs/>
          <w:sz w:val="24"/>
          <w:szCs w:val="24"/>
          <w:highlight w:val="none"/>
        </w:rPr>
        <w:t xml:space="preserve">采用</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w:t>
      </w:r>
      <w:r>
        <w:rPr>
          <w:rFonts w:hint="eastAsia" w:ascii="宋体" w:hAnsi="宋体" w:eastAsia="宋体" w:cs="宋体"/>
          <w:bCs/>
          <w:sz w:val="24"/>
          <w:szCs w:val="24"/>
          <w:highlight w:val="none"/>
          <w:lang w:val="en-US" w:eastAsia="zh-CN"/>
        </w:rPr>
        <w:t xml:space="preserve">暗标</w:t>
      </w:r>
      <w:r>
        <w:rPr>
          <w:rFonts w:hint="eastAsia" w:ascii="宋体" w:hAnsi="宋体" w:eastAsia="宋体" w:cs="宋体"/>
          <w:bCs/>
          <w:sz w:val="24"/>
          <w:szCs w:val="24"/>
          <w:highlight w:val="none"/>
        </w:rPr>
        <w:t xml:space="preserve">编制要求</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rPr>
          <w:rFonts w:hint="eastAsia" w:ascii="宋体" w:hAnsi="宋体" w:eastAsia="宋体" w:cs="宋体"/>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Cs/>
          <w:sz w:val="24"/>
          <w:szCs w:val="24"/>
          <w:highlight w:val="none"/>
          <w:lang w:val="en-US" w:eastAsia="zh-CN"/>
        </w:rPr>
        <w:t xml:space="preserve">方案部分采用暗标方式的，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则</w:t>
      </w:r>
      <w:r>
        <w:rPr>
          <w:rFonts w:hint="eastAsia" w:ascii="宋体" w:hAnsi="宋体" w:eastAsia="宋体" w:cs="宋体"/>
          <w:bCs/>
          <w:sz w:val="24"/>
          <w:szCs w:val="24"/>
          <w:highlight w:val="none"/>
        </w:rPr>
        <w:t xml:space="preserve">需按16.2的要求编制方案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经三分之二评委认定，</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未按</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6.2</w:t>
      </w:r>
      <w:r>
        <w:rPr>
          <w:rFonts w:hint="eastAsia" w:ascii="宋体" w:hAnsi="宋体" w:eastAsia="宋体" w:cs="宋体"/>
          <w:bCs/>
          <w:sz w:val="24"/>
          <w:szCs w:val="24"/>
          <w:highlight w:val="none"/>
        </w:rPr>
        <w:t xml:space="preserve">的要求编制方案的，按未提供方案处理。</w:t>
      </w:r>
      <w:r>
        <w:rPr>
          <w:rFonts w:hint="eastAsia" w:ascii="宋体" w:hAnsi="宋体" w:eastAsia="宋体" w:cs="宋体"/>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17.</w:t>
      </w:r>
      <w:r>
        <w:rPr>
          <w:rFonts w:hint="eastAsia" w:ascii="宋体" w:hAnsi="宋体" w:eastAsia="宋体" w:cs="宋体"/>
          <w:b/>
          <w:bCs w:val="0"/>
          <w:sz w:val="24"/>
          <w:szCs w:val="24"/>
          <w:highlight w:val="none"/>
          <w:lang w:eastAsia="zh-CN"/>
        </w:rPr>
        <w:t xml:space="preserve">投标</w:t>
      </w:r>
      <w:r>
        <w:rPr>
          <w:rFonts w:hint="eastAsia" w:ascii="宋体" w:hAnsi="宋体" w:eastAsia="宋体" w:cs="宋体"/>
          <w:b/>
          <w:bCs w:val="0"/>
          <w:sz w:val="24"/>
          <w:szCs w:val="24"/>
          <w:highlight w:val="none"/>
        </w:rPr>
        <w:t xml:space="preserve">有效期</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有效期为从</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之日起计算的</w:t>
      </w:r>
      <w:r>
        <w:rPr>
          <w:rFonts w:hint="eastAsia" w:ascii="宋体" w:hAnsi="宋体" w:eastAsia="宋体" w:cs="宋体"/>
          <w:b/>
          <w:bCs w:val="0"/>
          <w:sz w:val="24"/>
          <w:szCs w:val="24"/>
          <w:highlight w:val="none"/>
          <w:u w:val="single"/>
          <w:lang w:val="en-US" w:eastAsia="zh-CN"/>
        </w:rPr>
        <w:t xml:space="preserve">九</w:t>
      </w:r>
      <w:r>
        <w:rPr>
          <w:rFonts w:hint="eastAsia" w:ascii="宋体" w:hAnsi="宋体" w:eastAsia="宋体" w:cs="宋体"/>
          <w:b/>
          <w:bCs w:val="0"/>
          <w:sz w:val="24"/>
          <w:szCs w:val="24"/>
          <w:highlight w:val="none"/>
          <w:u w:val="single"/>
        </w:rPr>
        <w:t xml:space="preserve">十天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有效期比规定短的将被视为</w:t>
      </w:r>
      <w:r>
        <w:rPr>
          <w:rFonts w:hint="eastAsia" w:ascii="宋体" w:hAnsi="宋体" w:eastAsia="宋体" w:cs="宋体"/>
          <w:color w:val="000000"/>
          <w:sz w:val="24"/>
          <w:szCs w:val="24"/>
          <w:highlight w:val="none"/>
          <w:lang w:val="zh-CN"/>
        </w:rPr>
        <w:t xml:space="preserve">非响应投标而予以拒绝。</w:t>
      </w:r>
      <w:r>
        <w:rPr>
          <w:rFonts w:hint="eastAsia" w:ascii="宋体" w:hAnsi="宋体" w:eastAsia="宋体" w:cs="宋体"/>
          <w:b/>
          <w:bCs/>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17.2</w:t>
      </w:r>
      <w:r>
        <w:rPr>
          <w:rFonts w:hint="eastAsia" w:ascii="宋体" w:hAnsi="宋体" w:eastAsia="宋体" w:cs="宋体"/>
          <w:sz w:val="24"/>
          <w:szCs w:val="24"/>
          <w:highlight w:val="none"/>
        </w:rPr>
        <w:t xml:space="preserve">在特殊情况下，采购人（代理机构）于原</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有效期满之前，可向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提出延长</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有效期的要求，这种要求与答复均应采用书面形式。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可以拒绝这一要求而放弃</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。同意延长的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既不能要求也不允许修改其响应文件，受</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有效期约束的所有权利与义务均延长至新的有效期。</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18.</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文件的签署</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18.1投标文件应按招标文件要求进行电子签章。电子投标文件不得涂改、行间插字或删除，如果出现上述情况应重新编制。</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四、投标文件的递交</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19.投标文件的递交</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lang w:eastAsia="zh-CN"/>
        </w:rPr>
        <w:t xml:space="preserve">投标人应当按照《苏采云供应商操作手册》规定，在投标文件递交截止时间前制作并上传电子投标文件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eastAsia="zh-CN"/>
        </w:rPr>
        <w:t xml:space="preserve">充分考虑</w:t>
      </w:r>
      <w:r>
        <w:rPr>
          <w:rFonts w:hint="eastAsia" w:ascii="宋体" w:hAnsi="宋体" w:eastAsia="宋体" w:cs="宋体"/>
          <w:sz w:val="24"/>
          <w:szCs w:val="24"/>
          <w:highlight w:val="none"/>
        </w:rPr>
        <w:t xml:space="preserve">网络环境、网络带宽等风险因素，如因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自身原因造成的电子投标文件上传不</w:t>
      </w:r>
      <w:r>
        <w:rPr>
          <w:rFonts w:hint="eastAsia" w:ascii="宋体" w:hAnsi="宋体" w:eastAsia="宋体" w:cs="宋体"/>
          <w:sz w:val="24"/>
          <w:szCs w:val="24"/>
          <w:highlight w:val="none"/>
          <w:lang w:eastAsia="zh-CN"/>
        </w:rPr>
        <w:t xml:space="preserve">成功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19.2投标人上传的电子投标文件内容不清楚或不清晰的（含扫描件），造成无法评审或部分影响评审的，责任由投标人自负。</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19.3投标人上传电子投标文件的时间不得迟于投标邀请中规定的投标文件递交截止时间。</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19.4采购人（代理机构）可以按第7条规定，通过修改招标文件有权酌情延长投标文件接收截止时间。在此情况下，投标人的所有权利和义务以及投标人受制约的截止日期均应以延长后的截止日期为准。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19.5中标人在领取中标通知书之前，必须提供两份与电子投标文件一致的纸质打印投标文件。</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20.投标文件被拒绝接收的情形</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20.1在招标文件规定的投标截止时间后上传的电子投标文件。</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21.投标文件的修改和撤回</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投标人在递交投标文件后可以对其修改或撤回，但这种修改和撤回，必须在规定的投标截止时间前。</w:t>
      </w:r>
      <w:r>
        <w:rPr>
          <w:rFonts w:hint="eastAsia" w:ascii="宋体" w:hAnsi="宋体" w:eastAsia="宋体" w:cs="宋体"/>
          <w:color w:val="ff000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21.2对于电子投标文件的修改，投标人可在投标截止时间前登录苏采云系统撤回电子投标文件，并上传新的投标文件。</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lang w:eastAsia="zh-CN"/>
        </w:rPr>
        <w:t xml:space="preserve">投标人不得在投标截止时间以后修改投标文件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不得在提交电子响应文件截止时间起至</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有效期满前撤回投标文件。</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五、开标及评标</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bookmarkStart w:id="25" w:name="_Toc16938546"/>
      <w:r/>
      <w:bookmarkStart w:id="26" w:name="_Toc20823302"/>
      <w:r/>
      <w:bookmarkStart w:id="27" w:name="_Toc513029230"/>
      <w:r>
        <w:rPr>
          <w:rFonts w:hint="eastAsia" w:ascii="宋体" w:hAnsi="宋体" w:eastAsia="宋体" w:cs="宋体"/>
          <w:b/>
          <w:bCs w:val="0"/>
          <w:sz w:val="24"/>
          <w:szCs w:val="24"/>
          <w:highlight w:val="none"/>
        </w:rPr>
        <w:t xml:space="preserve">2</w:t>
      </w:r>
      <w:bookmarkEnd w:id="25"/>
      <w:r/>
      <w:bookmarkEnd w:id="26"/>
      <w:r/>
      <w:bookmarkEnd w:id="27"/>
      <w:r>
        <w:rPr>
          <w:rFonts w:hint="eastAsia" w:ascii="宋体" w:hAnsi="宋体" w:eastAsia="宋体" w:cs="宋体"/>
          <w:b/>
          <w:bCs w:val="0"/>
          <w:sz w:val="24"/>
          <w:szCs w:val="24"/>
          <w:highlight w:val="none"/>
        </w:rPr>
        <w:t xml:space="preserve">2.开标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22.2开标程序</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（1）采购人或代理机构将在投标邀请中规定的时间和地点组织采购开始仪式。投标人应当按照《苏采云供应商操作手册》规定，参加开标活动。</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（2）投标人在开标过程中涉及到的投标文件解密、唱标确认等工作，应按照《苏采云供应商操作手册》规定执行。</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（3）开标一览表内容与投标报价表内容不一致的，一律以开标一览表内容为准。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（4）投标文件提交截止时间结束后参加的投标人不足三家情况的，除采购任务取消情形外，按财政部令第74号第二十七条条款进行处理。</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（5）投标人如果对开标过程和开标记录有疑义，应当根据《苏采云供应商操作手册》规定提出，如苏采云系统中《开标记录表》宣布后5分钟内未提出的，视同认可开标结果。</w:t>
      </w:r>
      <w:r>
        <w:rPr>
          <w:rFonts w:hint="eastAsia"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eastAsia="zh-CN"/>
        </w:rPr>
        <w:t xml:space="preserve">评标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.1评标组织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.1.1评标工作由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（代理机构）负责组织，具体评标事务由依法组建的评标委员会负责，并独立履行下列职责：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委托协议直接确定中标人；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、财政部门报告评标中发现的违法行为。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.1.2评标委员会由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代表和有关技术、经济等方面的专家组成，独立开展评审工作。</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.2评标程序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.2.1投标文件的资格审查。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或采购代理机构将依法根据招标文件对投标人的资格进行审查。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.2.1.2资格性审查：依据法律法规和招标文件的规定，对投标文件中的资格证明文件、投标保证金等进行审查，以确定投标人是否具备投标资格。</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.2.1.4投标文件有下列情况之一的，在资格性审查时按照无效投标处理：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（1）不具备招标文件中规定的资格要求的；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（2）投标人被“信用中国”网站列入失信被执行人或重大税收违法案件当事人名单或政府采购严重失信行为记录名单。</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.2.2投标文件的符合性审查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.2.2.2实质性要求是指本招标文件中用带星号（“★”）的商务和技术要求。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.2.2.3如果投标文件实质上没有响应招标文件的要求，评标委员会将予以拒绝，投标人不得通过修改或撤销不符合要求的偏离或保留而使其投标成为实质性响应的投标。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.2.2.4评标委员会将对确定为实质性响应的投标进行进一步审核，看其是否有计算上或累加上的算术错误，修正错误的原则如下：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.2.2.5评标委员会将按上述修正错误的方法调整投标文件中的投标报价，调整后的价格</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投标人具有约束力。如果投标人不确认签字，其投标无效。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 xml:space="preserve">法定代表人</w:t>
      </w:r>
      <w:r>
        <w:rPr>
          <w:rFonts w:hint="eastAsia" w:ascii="宋体" w:hAnsi="宋体" w:eastAsia="宋体" w:cs="宋体"/>
          <w:sz w:val="24"/>
          <w:szCs w:val="24"/>
          <w:highlight w:val="none"/>
        </w:rPr>
        <w:t xml:space="preserve">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.2.2.7接到评标委员会澄清要求的投标人如未按第</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.2.2.6条的规定做出澄清，将视为放弃该权利。</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非单一产品采购项目，招标文件中将载明其中的核心产品，多家投标人提供的核心产品均为同一品牌相同的，按前两款规定处理。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.2.2.9投标文件有下列情况之一的，在符合性审查时按照无效投标处理：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（1）投标人未按照招标文件要求上传电子响应文件的。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（4）投标人不具备采购文件中规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资格要求的。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（5）投标人的报价超过了采购预算或最高限价的。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（6）未通过符合性审查的。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（7）不符合招标文件中规定的其他实质性要求和条件的（实质性要求和条件是指本招标文件中用带星号（“★”）的商务和技术要求）。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（9）投标文件含有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不能接受的附加条件的。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供应商响应文件中必须提供国家确定的认证机构出具的、处于有效期之内的该节能产品认证证书图片）</w:t>
      </w:r>
      <w:r>
        <w:rPr>
          <w:rFonts w:hint="eastAsia" w:ascii="宋体" w:hAnsi="宋体" w:eastAsia="宋体" w:cs="宋体"/>
          <w:b/>
          <w:bCs/>
          <w:sz w:val="24"/>
          <w:szCs w:val="24"/>
          <w:highlight w:val="none"/>
        </w:rPr>
        <w:t xml:space="preserve">（本项目不涉及）</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（11）投标文件未按照招标文件要求加盖电子签章或电子签字的。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（12）经查实提供虚假材料谋取成交的。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（13）评标委员会认为中标人的报价明显低于其他通过符合性审查的投标人的报价，有可能影响产品质量或者不能诚信履约的，未在合理的时间内提供书面说明或相关证明材料，不能证明其报价合理的。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t xml:space="preserve">投标人的报价属于《关于推动解决政府采购异常低价问题相关工作的通知》（苏财购〔2025〕62号）异常低价情形的，投标人不提供书面说明、证明材料，或者提供的书面说明、证明材料不能证明其报价合理性的。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其他法律、法规及本招标文件规定的无效响应的情形。</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在评标期间，出现符合专业条件的投标人或者对招标文件作出实质性响应的投标人不足三家情形的，按政府采购相关规定执行。</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.2.2.10有下列情形之一的予以废标，同时将废标理由通知所有投标人：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（1）符合专业条件的投标人或者对招标文件作实质性响应的投标人不足三家的；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（3）投标人的报价均超过了采购预算或最高限价的，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不能支付的；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（5）招标文件存在歧义、重大缺陷，或者招标文件内容违反国家有关强制性规定的。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sz w:val="24"/>
          <w:szCs w:val="24"/>
          <w:highlight w:val="none"/>
        </w:rPr>
        <w:t xml:space="preserve">原因造成开标不成功的。</w:t>
      </w:r>
      <w:r>
        <w:rPr>
          <w:rFonts w:hint="eastAsia" w:ascii="宋体" w:hAnsi="宋体" w:eastAsia="宋体" w:cs="宋体"/>
          <w:sz w:val="24"/>
          <w:szCs w:val="24"/>
          <w:highlight w:val="none"/>
        </w:rPr>
      </w:r>
      <w:r/>
    </w:p>
    <w:p>
      <w:pPr>
        <w:pStyle w:val="663"/>
        <w:ind w:left="0" w:right="0" w:firstLine="482"/>
        <w:pageBreakBefore w:val="0"/>
        <w:spacing w:beforeAutospacing="0" w:line="480" w:lineRule="exact"/>
        <w:widowControl w:val="off"/>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23.3异常低价投标审查</w:t>
      </w:r>
      <w:r>
        <w:rPr>
          <w:rFonts w:hint="eastAsia" w:ascii="宋体" w:hAnsi="宋体"/>
          <w:b/>
          <w:bCs w:val="0"/>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23.3.1评标过程中出现下列情形之一的，评委会应当启动异常低价投标审查程序：</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（1）投标（响应）报价低于采购项目预算50%的，即投标报价＜采购项目预算×50%；</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（2）投标报价低于采购项目最高限价45%的，即投标报价＜采购项目最高限价×45%；</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（3）评委会认定的投标人报价过低（含明显低于其他通过符合性审查投标人的报价），有可能影响产品质量或者不能诚信履约的其他情形。</w:t>
      </w:r>
      <w:r>
        <w:rPr>
          <w:rFonts w:hint="eastAsia" w:ascii="宋体" w:hAnsi="宋体"/>
          <w:b w:val="0"/>
          <w:bCs/>
          <w:color w:val="000000"/>
          <w:sz w:val="24"/>
          <w:highlight w:val="none"/>
          <w:lang w:val="en-US" w:eastAsia="zh-CN"/>
        </w:rPr>
      </w:r>
      <w:r/>
    </w:p>
    <w:p>
      <w:pPr>
        <w:pStyle w:val="663"/>
        <w:ind w:left="0" w:right="0" w:firstLine="482"/>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b w:val="0"/>
          <w:bCs/>
          <w:color w:val="000000"/>
          <w:sz w:val="24"/>
          <w:highlight w:val="none"/>
          <w:lang w:val="en-US" w:eastAsia="zh-CN"/>
        </w:rPr>
        <w:t xml:space="preserve">23.3.2启动异常低价投标审查后，评委会应当要求相关投标人在评标现场合理的时间内，提供项目具体成本测算等与报价合理性相关的书面说明材料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标报告中进行记录。</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评审及中标</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.1评标委员会将对通过资格性审查和符合性审查的投标文件进行评价和比较。</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.2评标委员会按招标文件第三章中公布的评标标准对每份合格投标文件进行评审，确定中标投标人，任何单项因素的最优不能作为中标的保证。</w:t>
      </w:r>
      <w:r>
        <w:rPr>
          <w:rFonts w:hint="eastAsia" w:ascii="宋体" w:hAnsi="宋体" w:eastAsia="宋体" w:cs="宋体"/>
          <w:sz w:val="24"/>
          <w:szCs w:val="24"/>
          <w:highlight w:val="none"/>
          <w:lang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.评审过程的保密</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Start w:id="28" w:name="_Toc20823304"/>
      <w:r/>
      <w:bookmarkStart w:id="29" w:name="_Toc513029232"/>
      <w:r/>
      <w:bookmarkStart w:id="30" w:name="_Toc16938548"/>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.1在宣布中标结果之前，凡属于审查、澄清、评价、比较投标文件和中标意向等有关信息，相关当事人均不得泄露给任何投标人或与评审工作无关的人员。</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（代理机构）和评审委员会不向未中标的投标人解释未中标原因，也不公布评审过程中的相关细节。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.3评标委员会名单在开标前确定，并在招标结果确定前保密。</w:t>
      </w:r>
      <w:r>
        <w:rPr>
          <w:rFonts w:hint="eastAsia" w:ascii="宋体" w:hAnsi="宋体" w:eastAsia="宋体" w:cs="宋体"/>
          <w:sz w:val="24"/>
          <w:szCs w:val="24"/>
          <w:highlight w:val="none"/>
        </w:rPr>
      </w:r>
      <w:r/>
    </w:p>
    <w:p>
      <w:pPr>
        <w:pStyle w:val="663"/>
        <w:numPr>
          <w:ilvl w:val="0"/>
          <w:numId w:val="0"/>
        </w:num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bookmarkEnd w:id="28"/>
      <w:r/>
      <w:bookmarkEnd w:id="29"/>
      <w:r/>
      <w:bookmarkEnd w:id="30"/>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定标及合同签订</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.确定中标投标人</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.1中标候选人的选取原则和数量见招标文件第三章规定。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应根据评标委员会推荐的中标候选人确认中标人。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（代理机构）将在淮安市政府采购网发布中标结果公告，公告期限为1个工作日。</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.4若有充分证据证明，中标人出现下列情况之一的，一经查实，将被取消中标资格：</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.4.2向采购人、采购中心行贿或者提供其他不正当利益的。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.5有下列情形之一的，视为投标人串通投标，投标无效：</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中标通知书</w:t>
      </w:r>
      <w:r>
        <w:rPr>
          <w:rFonts w:hint="eastAsia" w:ascii="宋体" w:hAnsi="宋体" w:eastAsia="宋体" w:cs="宋体"/>
          <w:b/>
          <w:bCs w:val="0"/>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.1在公告中标结果的同时，</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（代理机构）将向中标人发出中标通知书。</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.2中标人在接到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（代理机构）通知后五个工作日内必须到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（代理机构）处领取中标通知书并办理相关交费手续，逾期未办理</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自动放弃处理。中标投标人在领取中标通知书的同时必须递交与电子投标文件一致的纸质投标文件（印章齐全）正本一份，副本一份。</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.3中标通知书将是合同的一个组成部分。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28</w:t>
      </w:r>
      <w:r>
        <w:rPr>
          <w:rFonts w:hint="eastAsia" w:ascii="宋体" w:hAnsi="宋体" w:eastAsia="宋体" w:cs="宋体"/>
          <w:b/>
          <w:bCs w:val="0"/>
          <w:sz w:val="24"/>
          <w:szCs w:val="24"/>
          <w:highlight w:val="none"/>
        </w:rPr>
        <w:t xml:space="preserve">.签订合同</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与中标人应在中标通知书发出之日起三十日内签订政府采购合同。招标文件、中标人的投标文件及澄清文件等均为签订合同依据。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.2中标人自中标通知书发出之日起三十日内无正当理由不与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签订合同，将按财政部第87号令相关规定进行处理。</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29</w:t>
      </w:r>
      <w:r>
        <w:rPr>
          <w:rFonts w:hint="eastAsia" w:ascii="宋体" w:hAnsi="宋体" w:eastAsia="宋体" w:cs="宋体"/>
          <w:b/>
          <w:bCs w:val="0"/>
          <w:sz w:val="24"/>
          <w:szCs w:val="24"/>
          <w:highlight w:val="none"/>
        </w:rPr>
        <w:t xml:space="preserve">.货物和服务的减少</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.1采购结束后，采购人若由于各种客观原因，必须对采购项目所牵涉的货物和服务进行</w:t>
      </w:r>
      <w:r>
        <w:rPr>
          <w:rFonts w:hint="eastAsia" w:ascii="宋体" w:hAnsi="宋体" w:eastAsia="宋体" w:cs="宋体"/>
          <w:sz w:val="24"/>
          <w:szCs w:val="24"/>
          <w:highlight w:val="none"/>
          <w:lang w:eastAsia="zh-CN"/>
        </w:rPr>
        <w:t xml:space="preserve">适当地减少</w:t>
      </w:r>
      <w:r>
        <w:rPr>
          <w:rFonts w:hint="eastAsia" w:ascii="宋体" w:hAnsi="宋体" w:eastAsia="宋体" w:cs="宋体"/>
          <w:sz w:val="24"/>
          <w:szCs w:val="24"/>
          <w:highlight w:val="none"/>
        </w:rPr>
        <w:t xml:space="preserve">时，在双方协商一致的前提下，可以按照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时的价格水平做相应的调减，并据此签订补充合同。</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履约保证金</w:t>
      </w:r>
      <w:r>
        <w:rPr>
          <w:rFonts w:hint="eastAsia" w:ascii="宋体" w:hAnsi="宋体" w:eastAsia="宋体" w:cs="宋体"/>
          <w:b/>
          <w:bCs w:val="0"/>
          <w:sz w:val="24"/>
          <w:szCs w:val="24"/>
          <w:highlight w:val="none"/>
        </w:rPr>
      </w:r>
      <w:r/>
    </w:p>
    <w:p>
      <w:pPr>
        <w:pStyle w:val="663"/>
        <w:ind w:left="0" w:right="0" w:firstLine="482"/>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30.1本项目无需缴纳履约保证金。</w:t>
      </w:r>
      <w:r>
        <w:rPr>
          <w:rFonts w:hint="eastAsia" w:ascii="宋体" w:hAnsi="宋体" w:eastAsia="宋体" w:cs="宋体"/>
          <w:b/>
          <w:bCs/>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30.2投标人提供的履约保证金可以是人民币形式（银行本票、汇票、支票、电汇、数字人民币），或银行保函、担保公司的保证担保或保险公司的保证保险等多种形式。</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30.3投标人选取银行保函、担保公司的保证担保或保险公司的保证保险等形式向采购人缴纳的，如保函（担保、保险等）的约定期到期但投标人履约仍未结束的，投标人须进行续保。</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30.5如投标人未能履行合同规定的义务，采购人有权从履约保证金中取得补偿。</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30.7履约保证金在合同约定期间内不予退还或者完全有效，履约保证金在项目验收合格后无息退还给投标人。</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30.8如果成交投标人没有按照31条或32条的规定去做，采购人可报财政部门取消其成交资格，在此情况下采购人可将标授予下一个成交候选投标人，或重新采购。</w:t>
      </w:r>
      <w:r>
        <w:rPr>
          <w:rFonts w:hint="eastAsia" w:ascii="宋体" w:hAnsi="宋体" w:eastAsia="宋体" w:cs="宋体"/>
          <w:sz w:val="24"/>
          <w:szCs w:val="24"/>
          <w:highlight w:val="none"/>
          <w:lang w:val="en-US"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r>
        <w:rPr>
          <w:rFonts w:hint="eastAsia" w:ascii="宋体" w:hAnsi="宋体" w:eastAsia="宋体" w:cs="宋体"/>
          <w:sz w:val="24"/>
          <w:szCs w:val="24"/>
          <w:highlight w:val="none"/>
          <w:lang w:val="en-US" w:eastAsia="zh-CN"/>
        </w:rPr>
      </w:r>
      <w:r/>
    </w:p>
    <w:p>
      <w:pPr>
        <w:pStyle w:val="663"/>
        <w:ind w:right="0"/>
        <w:jc w:val="left"/>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rPr>
          <w:rFonts w:hint="eastAsia" w:ascii="宋体" w:hAnsi="宋体" w:eastAsia="宋体" w:cs="宋体"/>
          <w:b/>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31</w:t>
      </w:r>
      <w:r>
        <w:rPr>
          <w:rFonts w:hint="eastAsia" w:ascii="宋体" w:hAnsi="宋体" w:eastAsia="宋体" w:cs="宋体"/>
          <w:b/>
          <w:bCs w:val="0"/>
          <w:sz w:val="24"/>
          <w:szCs w:val="24"/>
          <w:highlight w:val="none"/>
        </w:rPr>
        <w:t xml:space="preserve">.质疑处理</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.2上述应知其权益受到损害之日是指</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文件提出质疑的，为采购文件公告期限届满之日起计算；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（3）对成交结果提出质疑的，为成交结果公告期限届满之日起计算。</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是指直接参加本次</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.4质疑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在法定质疑期内应当一次性针对同一采购环节提出质疑。</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.5质疑函应当包括以下主要内容，附上相关证明材料。否则，</w:t>
      </w:r>
      <w:r>
        <w:rPr>
          <w:rFonts w:hint="eastAsia" w:ascii="宋体" w:hAnsi="宋体" w:eastAsia="宋体" w:cs="宋体"/>
          <w:color w:val="000000"/>
          <w:sz w:val="24"/>
          <w:highlight w:val="none"/>
        </w:rPr>
        <w:t xml:space="preserve">采购人（代理机构）</w:t>
      </w:r>
      <w:r>
        <w:rPr>
          <w:rFonts w:hint="eastAsia" w:ascii="宋体" w:hAnsi="宋体" w:eastAsia="宋体" w:cs="宋体"/>
          <w:sz w:val="24"/>
          <w:szCs w:val="24"/>
          <w:highlight w:val="none"/>
        </w:rPr>
        <w:t xml:space="preserve">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的名称、地址、邮编、联系人及联系电话；</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为无效质疑，采购人（代理机构）有权不予受理。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还需要纸质形式回复函的，需主动与采购人（代理机构）联系索取，或者在质疑函中明确提出该要求。</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列入失信行为或不良行为记录名单，进行相应的行政处罚。</w:t>
      </w:r>
      <w:r>
        <w:rPr>
          <w:rFonts w:hint="eastAsia" w:ascii="宋体" w:hAnsi="宋体" w:eastAsia="宋体" w:cs="宋体"/>
          <w:sz w:val="24"/>
          <w:szCs w:val="24"/>
          <w:highlight w:val="none"/>
        </w:rPr>
      </w:r>
      <w:r/>
    </w:p>
    <w:p>
      <w:pPr>
        <w:pStyle w:val="663"/>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八、政府采购政策功能落实</w:t>
      </w:r>
      <w:r>
        <w:rPr>
          <w:rFonts w:hint="eastAsia" w:ascii="宋体" w:hAnsi="宋体" w:eastAsia="宋体" w:cs="宋体"/>
          <w:b/>
          <w:bCs/>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32</w:t>
      </w:r>
      <w:r>
        <w:rPr>
          <w:rFonts w:hint="eastAsia" w:ascii="宋体" w:hAnsi="宋体" w:eastAsia="宋体" w:cs="宋体"/>
          <w:b/>
          <w:bCs w:val="0"/>
          <w:sz w:val="24"/>
          <w:szCs w:val="24"/>
          <w:highlight w:val="none"/>
        </w:rPr>
        <w:t xml:space="preserve">.政策功能落实</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.1小微型企业价格扣除</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对于未预留份额专门面向中小企业采购的采购项目，投标人提供的货物或者服务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.1.2在货物采购项目中，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提供的货物既有中小企业制造货物，也有大型企业制造货物的，不享受本办法规定的中小企业扶持政策。</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.2联合体及分包</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.2.1以联合体形式参加政府采购活动，联合体各方均为中小企业的，联合体视同中小企业。其中，联合体各方均为小微企业的，联合体视同小微企业。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.2.2享受扶持政策获得政府采购合同的，小微企业不得将合同分包给大中型企业，中型企业不得将合同分包给大型企业。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.3小微型企业</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文件的要求提供相应的《企业声明函》，详见</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文件第六章示范格式。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.4残疾人福利单位</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32.5监狱和戒毒企业</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（2）监狱企业标准请参照《关于政府采购支持监狱企业发展有关问题的通知》（财库[2014]68号）。</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w:t>
      </w:r>
      <w:r>
        <w:rPr>
          <w:rFonts w:hint="eastAsia" w:ascii="宋体" w:hAnsi="宋体" w:eastAsia="宋体" w:cs="宋体"/>
          <w:sz w:val="24"/>
          <w:szCs w:val="24"/>
          <w:highlight w:val="none"/>
          <w:lang w:eastAsia="zh-CN"/>
        </w:rPr>
        <w:t xml:space="preserve">采购本国产品的支持政策</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32.6.1</w:t>
      </w:r>
      <w:r>
        <w:rPr>
          <w:rFonts w:hint="eastAsia" w:ascii="宋体" w:hAnsi="宋体" w:eastAsia="宋体" w:cs="宋体"/>
          <w:sz w:val="24"/>
          <w:szCs w:val="24"/>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32.6.2</w:t>
      </w:r>
      <w:r>
        <w:rPr>
          <w:rFonts w:hint="eastAsia" w:ascii="宋体" w:hAnsi="宋体" w:eastAsia="宋体" w:cs="宋体"/>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sz w:val="24"/>
          <w:szCs w:val="24"/>
          <w:highlight w:val="none"/>
          <w:u w:val="none"/>
          <w:lang w:eastAsia="zh-CN"/>
        </w:rPr>
        <w:t xml:space="preserve">（供应商需在“第六章投标文件格式”的“附件2投标分项报价表”中填写比例数值）</w:t>
      </w:r>
      <w:r>
        <w:rPr>
          <w:rFonts w:hint="eastAsia" w:ascii="宋体" w:hAnsi="宋体" w:eastAsia="宋体" w:cs="宋体"/>
          <w:sz w:val="24"/>
          <w:szCs w:val="24"/>
          <w:highlight w:val="none"/>
          <w:lang w:eastAsia="zh-CN"/>
        </w:rPr>
        <w:t xml:space="preserve">，依法对该供应商提供的全部产品给予价格评审优惠，即对该供应商提供的全部产品的总报价给予20%的价格扣除，用扣除后的价格参与评审。供应商未填写比例数值，或比例数值</w:t>
      </w:r>
      <w:r>
        <w:rPr>
          <w:rFonts w:hint="eastAsia" w:ascii="方正魏碑_GBK" w:hAnsi="方正魏碑_GBK" w:eastAsia="方正魏碑_GBK" w:cs="方正魏碑_GBK"/>
          <w:color w:val="ff0000"/>
          <w:sz w:val="24"/>
          <w:szCs w:val="24"/>
          <w:highlight w:val="none"/>
        </w:rPr>
        <w:t xml:space="preserve">未达到</w:t>
      </w:r>
      <w:r>
        <w:rPr>
          <w:rFonts w:hint="eastAsia" w:ascii="宋体" w:hAnsi="宋体" w:eastAsia="宋体" w:cs="宋体"/>
          <w:sz w:val="24"/>
          <w:szCs w:val="24"/>
          <w:highlight w:val="none"/>
          <w:lang w:eastAsia="zh-CN"/>
        </w:rPr>
        <w:t xml:space="preserve">80%的，将不享受本国产品价格评审优惠。</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32.6.3</w:t>
      </w:r>
      <w:r>
        <w:rPr>
          <w:rFonts w:hint="eastAsia" w:ascii="宋体" w:hAnsi="宋体" w:eastAsia="宋体" w:cs="宋体"/>
          <w:sz w:val="24"/>
          <w:szCs w:val="24"/>
          <w:highlight w:val="none"/>
          <w:lang w:eastAsia="zh-CN"/>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7.4 供应商需在《声明函》中逐一、准确填写产品名称、厂名、生产</w:t>
      </w:r>
      <w:r>
        <w:rPr>
          <w:rFonts w:hint="eastAsia" w:ascii="宋体" w:hAnsi="宋体" w:eastAsia="宋体" w:cs="宋体"/>
          <w:sz w:val="24"/>
          <w:szCs w:val="24"/>
          <w:highlight w:val="none"/>
          <w:u w:val="none"/>
          <w:lang w:eastAsia="zh-CN"/>
        </w:rPr>
        <w:t xml:space="preserve">厂址三项信息（《声明函》中用</w:t>
      </w:r>
      <w:r>
        <w:rPr>
          <w:rFonts w:hint="eastAsia" w:ascii="宋体" w:hAnsi="宋体" w:eastAsia="宋体" w:cs="宋体"/>
          <w:sz w:val="24"/>
          <w:szCs w:val="24"/>
          <w:highlight w:val="none"/>
          <w:u w:val="none"/>
          <w:lang w:val="en-US" w:eastAsia="zh-CN"/>
        </w:rPr>
        <w:t xml:space="preserve">横线</w:t>
      </w:r>
      <w:r>
        <w:rPr>
          <w:rFonts w:hint="eastAsia" w:ascii="宋体" w:hAnsi="宋体" w:eastAsia="宋体" w:cs="宋体"/>
          <w:sz w:val="24"/>
          <w:szCs w:val="24"/>
          <w:highlight w:val="none"/>
          <w:u w:val="none"/>
          <w:lang w:eastAsia="zh-CN"/>
        </w:rPr>
        <w:t xml:space="preserve">划除的地方无需填写），三项信息中任意一项未填写的视</w:t>
      </w:r>
      <w:r>
        <w:rPr>
          <w:rFonts w:hint="eastAsia" w:ascii="宋体" w:hAnsi="宋体" w:eastAsia="宋体" w:cs="宋体"/>
          <w:sz w:val="24"/>
          <w:szCs w:val="24"/>
          <w:highlight w:val="none"/>
        </w:rPr>
        <w:t xml:space="preserve">为该项产品不符合本国产品标准，不享受本国产品价格评审优惠。</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sz w:val="24"/>
          <w:szCs w:val="24"/>
          <w:highlight w:val="none"/>
          <w:lang w:val="en-US" w:eastAsia="zh-CN"/>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33</w:t>
      </w:r>
      <w:r>
        <w:rPr>
          <w:rFonts w:hint="eastAsia" w:ascii="宋体" w:hAnsi="宋体" w:eastAsia="宋体" w:cs="宋体"/>
          <w:b/>
          <w:bCs w:val="0"/>
          <w:sz w:val="24"/>
          <w:szCs w:val="24"/>
          <w:highlight w:val="none"/>
        </w:rPr>
        <w:t xml:space="preserve">.节能、环保政策（本项目不涉及）</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.2节能产品</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被列入“节能产品品目清单”的，实行</w:t>
      </w:r>
      <w:r>
        <w:rPr>
          <w:rFonts w:hint="eastAsia" w:ascii="宋体" w:hAnsi="宋体" w:eastAsia="宋体" w:cs="宋体"/>
          <w:sz w:val="24"/>
          <w:szCs w:val="24"/>
          <w:highlight w:val="none"/>
          <w:u w:val="single"/>
        </w:rPr>
        <w:t xml:space="preserve">（优先采购/强制采购）</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.3环保产品</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被列入“环境标志产品品目清单”的，实行优先采购。</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无效投标处理；实行“优先采购”的，在评分标准的“政策导向”处参与加分（详见第三章评标标准）。</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rPr>
          <w:rFonts w:hint="eastAsia" w:ascii="宋体" w:hAnsi="宋体" w:eastAsia="宋体" w:cs="宋体"/>
          <w:bCs/>
          <w:color w:val="000000"/>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34.</w:t>
      </w:r>
      <w:r>
        <w:rPr>
          <w:rFonts w:hint="eastAsia" w:ascii="宋体" w:hAnsi="宋体" w:eastAsia="宋体" w:cs="宋体"/>
          <w:b/>
          <w:bCs w:val="0"/>
          <w:sz w:val="24"/>
          <w:szCs w:val="24"/>
          <w:highlight w:val="none"/>
        </w:rPr>
        <w:t xml:space="preserve">政府绿色采购（本项目不涉及）</w:t>
      </w:r>
      <w:r>
        <w:rPr>
          <w:rFonts w:hint="eastAsia" w:ascii="宋体" w:hAnsi="宋体" w:eastAsia="宋体" w:cs="宋体"/>
          <w:b/>
          <w:bCs w:val="0"/>
          <w:sz w:val="24"/>
          <w:szCs w:val="24"/>
          <w:highlight w:val="none"/>
          <w:lang w:eastAsia="zh-CN"/>
        </w:rPr>
      </w:r>
      <w:r/>
    </w:p>
    <w:p>
      <w:pPr>
        <w:pStyle w:val="663"/>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rPr>
          <w:rFonts w:hint="eastAsia" w:ascii="宋体" w:hAnsi="宋体" w:eastAsia="宋体" w:cs="宋体"/>
          <w:bCs/>
          <w:color w:val="00000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sz w:val="24"/>
          <w:szCs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在供货、安装过程中</w:t>
      </w:r>
      <w:r>
        <w:rPr>
          <w:rFonts w:hint="eastAsia" w:ascii="宋体" w:hAnsi="宋体" w:eastAsia="宋体" w:cs="宋体"/>
          <w:sz w:val="24"/>
          <w:szCs w:val="24"/>
          <w:highlight w:val="none"/>
          <w:lang w:eastAsia="zh-CN"/>
        </w:rPr>
        <w:t xml:space="preserve">能</w:t>
      </w:r>
      <w:r>
        <w:rPr>
          <w:rFonts w:hint="eastAsia" w:ascii="宋体" w:hAnsi="宋体" w:eastAsia="宋体" w:cs="宋体"/>
          <w:sz w:val="24"/>
          <w:szCs w:val="24"/>
          <w:highlight w:val="none"/>
        </w:rPr>
        <w:t xml:space="preserve">做到低碳物流、环保节约、提高资源利用率；涉及设备运维参考《绿色数据中心政府采购需求标准（试行）》（财库【2023】7号文）执行。</w:t>
      </w:r>
      <w:r>
        <w:rPr>
          <w:rFonts w:hint="eastAsia" w:ascii="宋体" w:hAnsi="宋体" w:eastAsia="宋体" w:cs="宋体"/>
          <w:sz w:val="24"/>
          <w:szCs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sz w:val="24"/>
          <w:szCs w:val="24"/>
          <w:highlight w:val="none"/>
        </w:rPr>
      </w:r>
      <w:r/>
    </w:p>
    <w:p>
      <w:pPr>
        <w:pStyle w:val="663"/>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 履约资金扶持政策</w:t>
      </w:r>
      <w:r>
        <w:rPr>
          <w:rFonts w:hint="eastAsia" w:ascii="宋体" w:hAnsi="宋体" w:eastAsia="宋体" w:cs="宋体"/>
          <w:b/>
          <w:bCs w:val="0"/>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eastAsia="宋体" w:cs="宋体"/>
          <w:sz w:val="24"/>
          <w:szCs w:val="24"/>
          <w:highlight w:val="none"/>
        </w:rPr>
      </w:r>
      <w:r/>
    </w:p>
    <w:p>
      <w:pPr>
        <w:pStyle w:val="663"/>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sz w:val="24"/>
          <w:szCs w:val="24"/>
          <w:highlight w:val="none"/>
        </w:rPr>
      </w:r>
      <w:r/>
    </w:p>
    <w:p>
      <w:pPr>
        <w:pStyle w:val="663"/>
        <w:ind w:right="0"/>
        <w:jc w:val="center"/>
        <w:keepLines w:val="0"/>
        <w:keepNext w:val="0"/>
        <w:pageBreakBefore/>
        <w:spacing w:line="440" w:lineRule="exact"/>
        <w:widowControl w:val="off"/>
        <w:rPr>
          <w:rFonts w:hint="eastAsia" w:ascii="宋体" w:hAnsi="宋体" w:eastAsia="宋体" w:cs="宋体"/>
          <w:b/>
          <w:sz w:val="32"/>
          <w:szCs w:val="32"/>
          <w:highlight w:val="none"/>
        </w:rPr>
        <w:outlineLvl w:val="0"/>
      </w:pPr>
      <w:r/>
      <w:bookmarkStart w:id="31" w:name="_Toc19320"/>
      <w:r>
        <w:rPr>
          <w:rFonts w:hint="eastAsia" w:ascii="宋体" w:hAnsi="宋体" w:eastAsia="宋体" w:cs="宋体"/>
          <w:b/>
          <w:sz w:val="32"/>
          <w:szCs w:val="32"/>
          <w:highlight w:val="none"/>
        </w:rPr>
        <w:t xml:space="preserve">第三章  评标标准</w:t>
      </w:r>
      <w:bookmarkEnd w:id="31"/>
      <w:r>
        <w:rPr>
          <w:rFonts w:hint="eastAsia" w:ascii="宋体" w:hAnsi="宋体" w:eastAsia="宋体" w:cs="宋体"/>
          <w:b/>
          <w:sz w:val="32"/>
          <w:szCs w:val="32"/>
          <w:highlight w:val="none"/>
        </w:rPr>
      </w:r>
      <w:r/>
    </w:p>
    <w:p>
      <w:pPr>
        <w:pStyle w:val="663"/>
        <w:ind w:right="0" w:firstLine="480"/>
        <w:jc w:val="left"/>
        <w:keepLines w:val="0"/>
        <w:keepNext w:val="0"/>
        <w:pageBreakBefore w:val="0"/>
        <w:spacing w:line="48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eastAsia="宋体" w:cs="宋体"/>
          <w:sz w:val="24"/>
          <w:highlight w:val="none"/>
          <w:lang w:val="zh-CN"/>
        </w:rPr>
      </w:r>
      <w:r/>
    </w:p>
    <w:p>
      <w:pPr>
        <w:pStyle w:val="663"/>
        <w:ind w:right="0" w:firstLine="480"/>
        <w:jc w:val="left"/>
        <w:keepLines w:val="0"/>
        <w:keepNext w:val="0"/>
        <w:pageBreakBefore w:val="0"/>
        <w:spacing w:line="480" w:lineRule="exact"/>
        <w:widowControl w:val="off"/>
        <w:rPr>
          <w:rFonts w:hint="eastAsia" w:ascii="宋体" w:hAnsi="宋体" w:cs="宋体"/>
          <w:sz w:val="24"/>
        </w:rPr>
      </w:pPr>
      <w:r>
        <w:rPr>
          <w:rFonts w:hint="eastAsia" w:ascii="宋体" w:hAnsi="宋体" w:eastAsia="宋体" w:cs="宋体"/>
          <w:sz w:val="24"/>
          <w:highlight w:val="none"/>
          <w:lang w:val="zh-CN"/>
        </w:rPr>
        <w:t xml:space="preserve">二、评委会将依据下列评标标准进行评标，本评标标准的总分为100分。按评审后得分由高到低顺序排列。得分相同的，按投标报价由低到高顺序排列。得分且投标报价相同的并列，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b/>
          <w:bCs/>
          <w:sz w:val="24"/>
          <w:highlight w:val="none"/>
          <w:lang w:val="zh-CN"/>
        </w:rPr>
        <w:t xml:space="preserve">供应商可以同时投</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lang w:val="zh-CN"/>
        </w:rPr>
        <w:t xml:space="preserve">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但只能中其中的1个</w:t>
      </w:r>
      <w:r>
        <w:rPr>
          <w:rFonts w:hint="eastAsia" w:ascii="宋体" w:hAnsi="宋体" w:eastAsia="宋体" w:cs="宋体"/>
          <w:b/>
          <w:bCs/>
          <w:sz w:val="24"/>
          <w:highlight w:val="none"/>
          <w:lang w:val="en-US" w:eastAsia="zh-CN"/>
        </w:rPr>
        <w:t xml:space="preserve">采购包</w:t>
      </w:r>
      <w:r>
        <w:rPr>
          <w:rFonts w:hint="eastAsia" w:ascii="宋体" w:hAnsi="宋体" w:eastAsia="宋体" w:cs="宋体"/>
          <w:b/>
          <w:bCs/>
          <w:sz w:val="24"/>
          <w:highlight w:val="none"/>
          <w:lang w:val="zh-CN"/>
        </w:rPr>
        <w:t xml:space="preserve">，但</w:t>
      </w:r>
      <w:r>
        <w:rPr>
          <w:rFonts w:hint="eastAsia" w:ascii="宋体" w:hAnsi="宋体" w:eastAsia="宋体" w:cs="宋体"/>
          <w:b/>
          <w:bCs/>
          <w:sz w:val="24"/>
          <w:highlight w:val="none"/>
          <w:lang w:val="en-US" w:eastAsia="zh-CN"/>
        </w:rPr>
        <w:t xml:space="preserve">投标</w:t>
      </w:r>
      <w:r>
        <w:rPr>
          <w:rFonts w:hint="eastAsia" w:ascii="宋体" w:hAnsi="宋体" w:eastAsia="宋体" w:cs="宋体"/>
          <w:b/>
          <w:bCs/>
          <w:sz w:val="24"/>
          <w:highlight w:val="none"/>
          <w:lang w:val="zh-CN"/>
        </w:rPr>
        <w:t xml:space="preserve">文件继续参与后续标段的评审。开评标按</w:t>
      </w:r>
      <w:r>
        <w:rPr>
          <w:rFonts w:hint="eastAsia" w:ascii="宋体" w:hAnsi="宋体" w:eastAsia="宋体" w:cs="宋体"/>
          <w:b/>
          <w:bCs/>
          <w:sz w:val="24"/>
          <w:highlight w:val="none"/>
          <w:lang w:val="en-US" w:eastAsia="zh-CN"/>
        </w:rPr>
        <w:t xml:space="preserve">采购包1、采购包2</w:t>
      </w:r>
      <w:r>
        <w:rPr>
          <w:rFonts w:hint="eastAsia" w:ascii="宋体" w:hAnsi="宋体" w:eastAsia="宋体" w:cs="宋体"/>
          <w:b/>
          <w:bCs/>
          <w:sz w:val="24"/>
          <w:highlight w:val="none"/>
          <w:lang w:val="zh-CN"/>
        </w:rPr>
        <w:t xml:space="preserve">的顺序进行。</w:t>
      </w:r>
      <w:r>
        <w:rPr>
          <w:rFonts w:hint="eastAsia" w:ascii="宋体" w:hAnsi="宋体" w:cs="宋体"/>
          <w:sz w:val="24"/>
        </w:rPr>
      </w:r>
      <w:r/>
    </w:p>
    <w:p>
      <w:pPr>
        <w:pStyle w:val="663"/>
        <w:ind w:right="0" w:firstLine="480"/>
        <w:jc w:val="left"/>
        <w:keepLines w:val="0"/>
        <w:keepNext w:val="0"/>
        <w:pageBreakBefore w:val="0"/>
        <w:spacing w:line="480" w:lineRule="exact"/>
        <w:widowControl w:val="off"/>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三、具体标准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100分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eastAsia="zh-CN"/>
        </w:rPr>
      </w:r>
      <w:r/>
    </w:p>
    <w:p>
      <w:pPr>
        <w:pStyle w:val="663"/>
        <w:ind w:right="0" w:firstLine="482"/>
        <w:jc w:val="left"/>
        <w:keepLines w:val="0"/>
        <w:keepNext w:val="0"/>
        <w:pageBreakBefore w:val="0"/>
        <w:spacing w:line="48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1、适用采购包1</w:t>
      </w:r>
      <w:r>
        <w:rPr>
          <w:rFonts w:ascii="宋体" w:hAnsi="宋体" w:eastAsia="宋体" w:cs="宋体"/>
          <w:b/>
          <w:bCs/>
          <w:sz w:val="24"/>
          <w:highlight w:val="none"/>
          <w:lang w:val="en-US" w:eastAsia="zh-CN"/>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trHeight w:val="668"/>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rPr>
                <w:rFonts w:hint="eastAsia" w:ascii="宋体" w:hAnsi="宋体" w:eastAsia="宋体" w:cs="宋体"/>
                <w:b/>
                <w:bCs/>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rPr>
                <w:rFonts w:hint="eastAsia" w:ascii="宋体" w:hAnsi="宋体" w:eastAsia="宋体" w:cs="宋体"/>
                <w:b/>
                <w:bCs/>
                <w:sz w:val="24"/>
                <w:szCs w:val="24"/>
              </w:rPr>
            </w:r>
            <w:r/>
          </w:p>
        </w:tc>
        <w:tc>
          <w:tcPr>
            <w:tcW w:w="6527"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rPr>
                <w:rFonts w:hint="eastAsia" w:ascii="宋体" w:hAnsi="宋体" w:eastAsia="宋体" w:cs="宋体"/>
                <w:b/>
                <w:bCs/>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154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磋商报价与磋商基准价</w:t>
            </w:r>
            <w:r>
              <w:rPr>
                <w:rFonts w:hint="eastAsia" w:ascii="宋体" w:hAnsi="宋体" w:eastAsia="宋体" w:cs="宋体"/>
                <w:sz w:val="24"/>
                <w:szCs w:val="24"/>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满足磋商文件要求且最后报价最低的供应商的报价为磋商基准价，其价格分为满分。其他供应商的价格分统一按照下列公式计算：磋商报价得分=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磋商基准价／最后磋商报价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（该结果四舍五入，保留两位小数）</w:t>
            </w:r>
            <w:r>
              <w:rPr>
                <w:rFonts w:hint="eastAsia" w:ascii="宋体" w:hAnsi="宋体" w:eastAsia="宋体" w:cs="宋体"/>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商务部分（5分）</w:t>
            </w:r>
            <w:r>
              <w:rPr>
                <w:rFonts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6527" w:type="dxa"/>
            <w:vAlign w:val="center"/>
            <w:textDirection w:val="lrTb"/>
            <w:noWrap w:val="false"/>
          </w:tcPr>
          <w:p>
            <w:pPr>
              <w:pStyle w:val="663"/>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供应商自2023年1月1日至今，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rPr>
            </w:r>
            <w:r/>
          </w:p>
          <w:p>
            <w:pPr>
              <w:pStyle w:val="663"/>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（提供合同原件扫描件上传，时间以合同签订时间为准，合同内容中需能反映出相关内容，否则不得分。）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rPr>
                <w:rFonts w:ascii="宋体" w:hAnsi="宋体" w:eastAsia="宋体" w:cs="宋体"/>
                <w:color w:val="000000"/>
                <w:sz w:val="24"/>
                <w:szCs w:val="24"/>
                <w:highlight w:val="none"/>
                <w:lang w:val="en-US" w:eastAsia="zh-CN"/>
              </w:rPr>
            </w:r>
            <w:r/>
          </w:p>
        </w:tc>
        <w:tc>
          <w:tcPr>
            <w:tcW w:w="6527" w:type="dxa"/>
            <w:vAlign w:val="center"/>
            <w:textDirection w:val="lrTb"/>
            <w:noWrap w:val="false"/>
          </w:tcPr>
          <w:p>
            <w:pPr>
              <w:pStyle w:val="759"/>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供应商具备有效期内的质量管理体系认证证书、环境管理体系认证证书、职业健康安全管理体系认证证书，每提供一个得1分，最多得3分。</w:t>
            </w:r>
            <w:r>
              <w:rPr>
                <w:rFonts w:hint="eastAsia" w:ascii="宋体" w:hAnsi="宋体" w:eastAsia="宋体" w:cs="宋体"/>
                <w:color w:val="000000"/>
                <w:sz w:val="24"/>
                <w:szCs w:val="24"/>
                <w:highlight w:val="none"/>
                <w:lang w:val="en-US" w:eastAsia="zh-CN" w:bidi="ar-SA"/>
              </w:rPr>
            </w:r>
            <w:r/>
          </w:p>
          <w:p>
            <w:pPr>
              <w:pStyle w:val="759"/>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提供认证证书原件扫描件及国家认证认可信息公共服务平台查询该认证的截图加盖供应商公章，</w:t>
            </w:r>
            <w:r>
              <w:rPr>
                <w:rFonts w:hint="eastAsia" w:ascii="宋体" w:hAnsi="宋体" w:eastAsia="宋体" w:cs="宋体"/>
                <w:b/>
                <w:bCs/>
                <w:sz w:val="24"/>
                <w:szCs w:val="24"/>
                <w:highlight w:val="none"/>
                <w:lang w:val="zh-CN"/>
              </w:rPr>
              <w:t xml:space="preserve">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55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hint="eastAsia" w:ascii="宋体" w:hAnsi="宋体" w:eastAsia="宋体" w:cs="宋体"/>
                <w:spacing w:val="4"/>
                <w:sz w:val="24"/>
                <w:szCs w:val="24"/>
                <w:lang w:val="en-US" w:eastAsia="zh-CN" w:bidi="ar"/>
              </w:rPr>
              <w:t xml:space="preserve">技术响应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ascii="宋体" w:hAnsi="宋体" w:eastAsia="宋体" w:cs="宋体"/>
                <w:sz w:val="24"/>
                <w:szCs w:val="24"/>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eastAsia="宋体" w:cs="宋体"/>
                <w:spacing w:val="4"/>
                <w:sz w:val="24"/>
                <w:szCs w:val="24"/>
                <w:lang w:val="en-US" w:eastAsia="zh-CN" w:bidi="ar"/>
              </w:rPr>
              <w:t xml:space="preserve">参数响应</w:t>
            </w:r>
            <w:r>
              <w:rPr>
                <w:rFonts w:ascii="宋体" w:hAnsi="宋体" w:eastAsia="宋体" w:cs="宋体"/>
                <w:spacing w:val="4"/>
                <w:sz w:val="24"/>
                <w:szCs w:val="24"/>
                <w:lang w:val="en-US" w:eastAsia="zh-CN" w:bidi="ar"/>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rPr>
                <w:rFonts w:hint="eastAsia" w:ascii="宋体" w:hAnsi="宋体" w:eastAsia="宋体" w:cs="宋体"/>
                <w:sz w:val="24"/>
                <w:szCs w:val="24"/>
                <w:lang w:val="en-US" w:bidi="zh-CN"/>
              </w:rPr>
            </w:r>
            <w:r/>
          </w:p>
          <w:p>
            <w:pPr>
              <w:pStyle w:val="663"/>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lang w:val="en-US" w:eastAsia="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rPr>
                <w:rFonts w:ascii="宋体" w:hAnsi="宋体" w:eastAsia="宋体" w:cs="宋体"/>
                <w:sz w:val="24"/>
                <w:szCs w:val="24"/>
                <w:lang w:val="en-US" w:eastAsia="zh-CN"/>
              </w:rPr>
            </w:r>
            <w:r/>
          </w:p>
        </w:tc>
      </w:tr>
      <w:tr>
        <w:trPr>
          <w:trHeight w:val="572"/>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w:t>
            </w:r>
            <w:r>
              <w:rPr>
                <w:rFonts w:hint="eastAsia" w:ascii="宋体" w:hAnsi="宋体" w:eastAsia="宋体" w:cs="宋体"/>
                <w:sz w:val="24"/>
                <w:szCs w:val="24"/>
                <w:lang w:val="en-US" w:eastAsia="zh-CN" w:bidi="ar-SA"/>
              </w:rPr>
              <w:t xml:space="preserve">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rPr>
                <w:rFonts w:hint="eastAsia"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rPr>
                <w:rFonts w:ascii="宋体" w:hAnsi="宋体" w:eastAsia="宋体" w:cs="宋体"/>
                <w:color w:val="000000"/>
                <w:sz w:val="24"/>
                <w:szCs w:val="24"/>
                <w:lang w:val="en-US" w:eastAsia="zh-CN"/>
              </w:rPr>
            </w:r>
            <w:r/>
          </w:p>
        </w:tc>
      </w:tr>
    </w:tbl>
    <w:p>
      <w:pPr>
        <w:pStyle w:val="663"/>
        <w:ind w:right="0"/>
        <w:jc w:val="left"/>
        <w:keepLines w:val="0"/>
        <w:keepNext w:val="0"/>
        <w:pageBreakBefore w:val="0"/>
        <w:spacing w:line="48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663"/>
        <w:ind w:right="0" w:firstLine="482"/>
        <w:jc w:val="left"/>
        <w:keepLines w:val="0"/>
        <w:keepNext w:val="0"/>
        <w:pageBreakBefore w:val="0"/>
        <w:spacing w:line="480" w:lineRule="exact"/>
        <w:widowControl w:val="off"/>
        <w:rPr>
          <w:rFonts w:hint="eastAsia" w:ascii="宋体" w:hAnsi="宋体" w:cs="宋体"/>
          <w:b/>
          <w:bCs/>
          <w:sz w:val="24"/>
          <w:lang w:bidi="ar"/>
        </w:rPr>
      </w:pPr>
      <w:r>
        <w:rPr>
          <w:rFonts w:hint="eastAsia" w:ascii="宋体" w:hAnsi="宋体" w:eastAsia="宋体" w:cs="宋体"/>
          <w:b/>
          <w:bCs/>
          <w:sz w:val="24"/>
          <w:highlight w:val="none"/>
          <w:lang w:val="en-US" w:eastAsia="zh-CN"/>
        </w:rPr>
        <w:t xml:space="preserve">2、适用采购包2</w:t>
      </w:r>
      <w:r>
        <w:rPr>
          <w:rFonts w:hint="eastAsia" w:ascii="宋体" w:hAnsi="宋体" w:cs="宋体"/>
          <w:b/>
          <w:bCs/>
          <w:sz w:val="24"/>
          <w:lang w:bidi="ar"/>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trHeight w:val="668"/>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rPr>
                <w:rFonts w:hint="eastAsia" w:ascii="宋体" w:hAnsi="宋体" w:eastAsia="宋体" w:cs="宋体"/>
                <w:b/>
                <w:bCs/>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rPr>
                <w:rFonts w:hint="eastAsia" w:ascii="宋体" w:hAnsi="宋体" w:eastAsia="宋体" w:cs="宋体"/>
                <w:b/>
                <w:bCs/>
                <w:sz w:val="24"/>
                <w:szCs w:val="24"/>
              </w:rPr>
            </w:r>
            <w:r/>
          </w:p>
        </w:tc>
        <w:tc>
          <w:tcPr>
            <w:tcW w:w="6527"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rPr>
                <w:rFonts w:hint="eastAsia" w:ascii="宋体" w:hAnsi="宋体" w:eastAsia="宋体" w:cs="宋体"/>
                <w:b/>
                <w:bCs/>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154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磋商报价与磋商基准价</w:t>
            </w:r>
            <w:r>
              <w:rPr>
                <w:rFonts w:hint="eastAsia" w:ascii="宋体" w:hAnsi="宋体" w:eastAsia="宋体" w:cs="宋体"/>
                <w:sz w:val="24"/>
                <w:szCs w:val="24"/>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满足磋商文件要求且最后报价最低的供应商的报价为磋商基准价，其价格分为满分。其他供应商的价格分统一按照下列公式计算：磋商报价得分=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磋商基准价／最后磋商报价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（该结果四舍五入，保留两位小数）</w:t>
            </w:r>
            <w:r>
              <w:rPr>
                <w:rFonts w:hint="eastAsia" w:ascii="宋体" w:hAnsi="宋体" w:eastAsia="宋体" w:cs="宋体"/>
                <w:sz w:val="24"/>
                <w:szCs w:val="24"/>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商务部分（5分）</w:t>
            </w:r>
            <w:r>
              <w:rPr>
                <w:rFonts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6527" w:type="dxa"/>
            <w:vAlign w:val="center"/>
            <w:textDirection w:val="lrTb"/>
            <w:noWrap w:val="false"/>
          </w:tcPr>
          <w:p>
            <w:pPr>
              <w:pStyle w:val="663"/>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供应商自2023年1月1日至今，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rPr>
            </w:r>
            <w:r/>
          </w:p>
          <w:p>
            <w:pPr>
              <w:pStyle w:val="663"/>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（提供合同原件扫描件上传，时间以合同签订时间为准，合同内容中需能反映出相关内容，否则不得分。）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2040"/>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rPr>
                <w:rFonts w:ascii="宋体" w:hAnsi="宋体" w:eastAsia="宋体" w:cs="宋体"/>
                <w:color w:val="000000"/>
                <w:sz w:val="24"/>
                <w:szCs w:val="24"/>
                <w:highlight w:val="none"/>
                <w:lang w:val="en-US" w:eastAsia="zh-CN"/>
              </w:rPr>
            </w:r>
            <w:r/>
          </w:p>
        </w:tc>
        <w:tc>
          <w:tcPr>
            <w:tcW w:w="6527" w:type="dxa"/>
            <w:vAlign w:val="center"/>
            <w:textDirection w:val="lrTb"/>
            <w:noWrap w:val="false"/>
          </w:tcPr>
          <w:p>
            <w:pPr>
              <w:pStyle w:val="759"/>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供应商具备有效期内的质量管理体系认证证书、环境管理体系认证证书、职业健康安全管理体系认证证书，每提供一个得1分，最多得3分。</w:t>
            </w:r>
            <w:r>
              <w:rPr>
                <w:rFonts w:hint="eastAsia" w:ascii="宋体" w:hAnsi="宋体" w:eastAsia="宋体" w:cs="宋体"/>
                <w:color w:val="000000"/>
                <w:sz w:val="24"/>
                <w:szCs w:val="24"/>
                <w:highlight w:val="none"/>
                <w:lang w:val="en-US" w:eastAsia="zh-CN" w:bidi="ar-SA"/>
              </w:rPr>
            </w:r>
            <w:r/>
          </w:p>
          <w:p>
            <w:pPr>
              <w:pStyle w:val="759"/>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提供认证证书原件扫描件及国家认证认可信息公共服务平台查询该认证的截图加盖供应商公章，</w:t>
            </w:r>
            <w:r>
              <w:rPr>
                <w:rFonts w:hint="eastAsia" w:ascii="宋体" w:hAnsi="宋体" w:eastAsia="宋体" w:cs="宋体"/>
                <w:b/>
                <w:bCs/>
                <w:sz w:val="24"/>
                <w:szCs w:val="24"/>
                <w:highlight w:val="none"/>
                <w:lang w:val="zh-CN"/>
              </w:rPr>
              <w:t xml:space="preserve">否则不得分。</w:t>
            </w:r>
            <w:r>
              <w:rPr>
                <w:rFonts w:hint="eastAsia" w:ascii="宋体" w:hAnsi="宋体" w:eastAsia="宋体" w:cs="宋体"/>
                <w:b/>
                <w:bCs/>
                <w:sz w:val="24"/>
                <w:szCs w:val="24"/>
                <w:highlight w:val="none"/>
                <w:lang w:val="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r>
            <w:r/>
          </w:p>
        </w:tc>
      </w:tr>
      <w:tr>
        <w:trPr>
          <w:trHeight w:val="555"/>
        </w:trPr>
        <w:tc>
          <w:tcPr>
            <w:tcW w:w="1248" w:type="dxa"/>
            <w:vAlign w:val="center"/>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hint="eastAsia" w:ascii="宋体" w:hAnsi="宋体" w:eastAsia="宋体" w:cs="宋体"/>
                <w:spacing w:val="4"/>
                <w:sz w:val="24"/>
                <w:szCs w:val="24"/>
                <w:lang w:val="en-US" w:eastAsia="zh-CN" w:bidi="ar"/>
              </w:rPr>
              <w:t xml:space="preserve">技术响应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ascii="宋体" w:hAnsi="宋体" w:eastAsia="宋体" w:cs="宋体"/>
                <w:sz w:val="24"/>
                <w:szCs w:val="24"/>
                <w:lang w:val="en-US" w:eastAsia="zh-CN"/>
              </w:rPr>
            </w:r>
            <w:r/>
          </w:p>
        </w:tc>
        <w:tc>
          <w:tcPr>
            <w:tcW w:w="1186"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eastAsia="宋体" w:cs="宋体"/>
                <w:spacing w:val="4"/>
                <w:sz w:val="24"/>
                <w:szCs w:val="24"/>
                <w:lang w:val="en-US" w:eastAsia="zh-CN" w:bidi="ar"/>
              </w:rPr>
              <w:t xml:space="preserve">参数响应</w:t>
            </w:r>
            <w:r>
              <w:rPr>
                <w:rFonts w:ascii="宋体" w:hAnsi="宋体" w:eastAsia="宋体" w:cs="宋体"/>
                <w:spacing w:val="4"/>
                <w:sz w:val="24"/>
                <w:szCs w:val="24"/>
                <w:lang w:val="en-US" w:eastAsia="zh-CN" w:bidi="ar"/>
              </w:rPr>
            </w:r>
            <w:r/>
          </w:p>
        </w:tc>
        <w:tc>
          <w:tcPr>
            <w:tcW w:w="6527" w:type="dxa"/>
            <w:vAlign w:val="center"/>
            <w:textDirection w:val="lrTb"/>
            <w:noWrap w:val="false"/>
          </w:tcPr>
          <w:p>
            <w:pPr>
              <w:pStyle w:val="663"/>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rPr>
                <w:rFonts w:hint="eastAsia" w:ascii="宋体" w:hAnsi="宋体" w:eastAsia="宋体" w:cs="宋体"/>
                <w:sz w:val="24"/>
                <w:szCs w:val="24"/>
                <w:lang w:val="en-US" w:bidi="zh-CN"/>
              </w:rPr>
            </w:r>
            <w:r/>
          </w:p>
          <w:p>
            <w:pPr>
              <w:pStyle w:val="663"/>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lang w:val="en-US" w:eastAsia="zh-CN"/>
              </w:rPr>
            </w:r>
            <w:r/>
          </w:p>
        </w:tc>
        <w:tc>
          <w:tcPr>
            <w:tcW w:w="780" w:type="dxa"/>
            <w:vAlign w:val="center"/>
            <w:textDirection w:val="lrTb"/>
            <w:noWrap w:val="false"/>
          </w:tcPr>
          <w:p>
            <w:pPr>
              <w:pStyle w:val="663"/>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rPr>
                <w:rFonts w:ascii="宋体" w:hAnsi="宋体" w:eastAsia="宋体" w:cs="宋体"/>
                <w:sz w:val="24"/>
                <w:szCs w:val="24"/>
                <w:lang w:val="en-US" w:eastAsia="zh-CN"/>
              </w:rPr>
            </w:r>
            <w:r/>
          </w:p>
        </w:tc>
      </w:tr>
      <w:tr>
        <w:trPr>
          <w:trHeight w:val="572"/>
        </w:trPr>
        <w:tc>
          <w:tcPr>
            <w:tcW w:w="1248" w:type="dxa"/>
            <w:vAlign w:val="center"/>
            <w:vMerge w:val="restart"/>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w:t>
            </w:r>
            <w:r>
              <w:rPr>
                <w:rFonts w:hint="eastAsia" w:ascii="宋体" w:hAnsi="宋体" w:eastAsia="宋体" w:cs="宋体"/>
                <w:sz w:val="24"/>
                <w:szCs w:val="24"/>
                <w:lang w:val="en-US" w:eastAsia="zh-CN" w:bidi="ar-SA"/>
              </w:rPr>
              <w:t xml:space="preserve">5</w:t>
            </w:r>
            <w:r>
              <w:rPr>
                <w:rFonts w:hint="eastAsia" w:ascii="宋体" w:hAnsi="宋体" w:eastAsia="宋体" w:cs="宋体"/>
                <w:color w:val="000000"/>
                <w:sz w:val="24"/>
                <w:highlight w:val="none"/>
                <w:lang w:val="en-US" w:eastAsia="zh-CN"/>
              </w:rPr>
              <w:t xml:space="preserve">＜优≤8分，3＜良≤5分，0＜差≤3分，未提供或有明显缺陷的不得分。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针对供应商提供的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rPr>
                <w:rFonts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lang w:val="en-US" w:eastAsia="zh-CN"/>
              </w:rPr>
            </w:r>
            <w:r/>
          </w:p>
        </w:tc>
      </w:tr>
      <w:tr>
        <w:trPr>
          <w:trHeight w:val="572"/>
        </w:trPr>
        <w:tc>
          <w:tcPr>
            <w:tcW w:w="1248" w:type="dxa"/>
            <w:vAlign w:val="center"/>
            <w:vMerge w:val="continue"/>
            <w:textDirection w:val="lrTb"/>
            <w:noWrap w:val="false"/>
          </w:tcPr>
          <w:p>
            <w:pPr>
              <w:pStyle w:val="663"/>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784"/>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rPr>
                <w:rFonts w:hint="eastAsia" w:ascii="宋体" w:hAnsi="宋体" w:eastAsia="宋体" w:cs="宋体"/>
                <w:color w:val="000000"/>
                <w:sz w:val="24"/>
                <w:highlight w:val="none"/>
                <w:lang w:val="en-US" w:eastAsia="zh-CN"/>
              </w:rPr>
            </w:r>
            <w:r/>
          </w:p>
        </w:tc>
        <w:tc>
          <w:tcPr>
            <w:tcW w:w="6527" w:type="dxa"/>
            <w:vAlign w:val="center"/>
            <w:textDirection w:val="lrTb"/>
            <w:noWrap w:val="false"/>
          </w:tcPr>
          <w:p>
            <w:pPr>
              <w:pStyle w:val="784"/>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rPr>
                <w:rFonts w:hint="eastAsia" w:ascii="宋体" w:hAnsi="宋体" w:eastAsia="宋体" w:cs="宋体"/>
                <w:color w:val="000000"/>
                <w:sz w:val="24"/>
                <w:highlight w:val="none"/>
                <w:lang w:val="en-US" w:eastAsia="zh-CN"/>
              </w:rPr>
            </w:r>
            <w:r/>
          </w:p>
        </w:tc>
        <w:tc>
          <w:tcPr>
            <w:tcW w:w="780" w:type="dxa"/>
            <w:vAlign w:val="center"/>
            <w:textDirection w:val="lrTb"/>
            <w:noWrap w:val="false"/>
          </w:tcPr>
          <w:p>
            <w:pPr>
              <w:pStyle w:val="703"/>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rPr>
                <w:rFonts w:ascii="宋体" w:hAnsi="宋体" w:eastAsia="宋体" w:cs="宋体"/>
                <w:color w:val="000000"/>
                <w:sz w:val="24"/>
                <w:szCs w:val="24"/>
                <w:lang w:val="en-US" w:eastAsia="zh-CN"/>
              </w:rPr>
            </w:r>
            <w:r/>
          </w:p>
        </w:tc>
      </w:tr>
    </w:tbl>
    <w:p>
      <w:pPr>
        <w:pStyle w:val="663"/>
        <w:ind w:right="0"/>
        <w:jc w:val="left"/>
        <w:keepLines w:val="0"/>
        <w:keepNext w:val="0"/>
        <w:pageBreakBefore w:val="0"/>
        <w:spacing w:line="400" w:lineRule="exact"/>
        <w:widowControl w:val="off"/>
        <w:rPr>
          <w:rFonts w:hint="eastAsia" w:ascii="宋体" w:hAnsi="宋体" w:eastAsia="宋体" w:cs="宋体"/>
          <w:b/>
          <w:bCs/>
          <w:color w:val="ff0000"/>
          <w:sz w:val="24"/>
          <w:highlight w:val="none"/>
        </w:rPr>
      </w:pPr>
      <w:r>
        <w:rPr>
          <w:rFonts w:hint="eastAsia" w:ascii="宋体" w:hAnsi="宋体" w:eastAsia="宋体" w:cs="宋体"/>
          <w:b/>
          <w:bCs/>
          <w:sz w:val="24"/>
          <w:highlight w:val="none"/>
          <w:lang w:bidi="ar"/>
        </w:rPr>
        <w:t xml:space="preserve">注</w:t>
      </w:r>
      <w:r>
        <w:rPr>
          <w:rFonts w:hint="eastAsia" w:ascii="宋体" w:hAnsi="宋体" w:eastAsia="宋体" w:cs="宋体"/>
          <w:b/>
          <w:bCs/>
          <w:sz w:val="24"/>
          <w:highlight w:val="none"/>
          <w:lang w:eastAsia="zh-CN" w:bidi="ar"/>
        </w:rPr>
        <w:t xml:space="preserve">：</w:t>
      </w:r>
      <w:r>
        <w:rPr>
          <w:rFonts w:hint="eastAsia" w:ascii="宋体" w:hAnsi="宋体" w:eastAsia="宋体" w:cs="宋体"/>
          <w:b/>
          <w:bCs/>
          <w:color w:val="ff0000"/>
          <w:sz w:val="24"/>
          <w:szCs w:val="24"/>
          <w:highlight w:val="none"/>
          <w:lang w:val="en-US" w:eastAsia="zh-CN" w:bidi="ar-SA"/>
        </w:rPr>
        <w:t xml:space="preserve">1、</w:t>
      </w:r>
      <w:r>
        <w:rPr>
          <w:rFonts w:hint="eastAsia" w:ascii="宋体" w:hAnsi="宋体" w:eastAsia="宋体" w:cs="宋体"/>
          <w:b/>
          <w:bCs/>
          <w:color w:val="ff0000"/>
          <w:sz w:val="24"/>
          <w:highlight w:val="none"/>
        </w:rPr>
        <w:t xml:space="preserve">以上所有要求提供的证明材料在投标截止时间之前扫描件加盖单位</w:t>
      </w:r>
      <w:r>
        <w:rPr>
          <w:rFonts w:hint="eastAsia" w:ascii="宋体" w:hAnsi="宋体" w:eastAsia="宋体" w:cs="宋体"/>
          <w:b/>
          <w:bCs/>
          <w:color w:val="ff0000"/>
          <w:sz w:val="24"/>
          <w:highlight w:val="none"/>
          <w:lang w:eastAsia="zh-CN"/>
        </w:rPr>
        <w:t xml:space="preserve">公</w:t>
      </w:r>
      <w:r>
        <w:rPr>
          <w:rFonts w:hint="eastAsia" w:ascii="宋体" w:hAnsi="宋体" w:eastAsia="宋体" w:cs="宋体"/>
          <w:b/>
          <w:bCs/>
          <w:color w:val="ff0000"/>
          <w:sz w:val="24"/>
          <w:highlight w:val="none"/>
        </w:rPr>
        <w:t xml:space="preserve">章或者电子签章上传，用投标文件制作工具制作并生成上传至</w:t>
      </w:r>
      <w:r>
        <w:rPr>
          <w:rFonts w:hint="eastAsia" w:ascii="宋体" w:hAnsi="宋体" w:eastAsia="宋体" w:cs="宋体"/>
          <w:b/>
          <w:bCs/>
          <w:color w:val="ff0000"/>
          <w:sz w:val="24"/>
          <w:highlight w:val="none"/>
          <w:lang w:eastAsia="zh-CN"/>
        </w:rPr>
        <w:t xml:space="preserve">苏采云</w:t>
      </w:r>
      <w:r>
        <w:rPr>
          <w:rFonts w:hint="eastAsia" w:ascii="宋体" w:hAnsi="宋体" w:eastAsia="宋体" w:cs="宋体"/>
          <w:b/>
          <w:bCs/>
          <w:color w:val="ff0000"/>
          <w:sz w:val="24"/>
          <w:highlight w:val="none"/>
        </w:rPr>
        <w:t xml:space="preserve">平台。</w:t>
      </w:r>
      <w:r>
        <w:rPr>
          <w:rFonts w:hint="eastAsia" w:ascii="宋体" w:hAnsi="宋体" w:eastAsia="宋体" w:cs="宋体"/>
          <w:b/>
          <w:bCs/>
          <w:color w:val="ff0000"/>
          <w:sz w:val="24"/>
          <w:highlight w:val="none"/>
        </w:rPr>
      </w:r>
      <w:r/>
    </w:p>
    <w:p>
      <w:pPr>
        <w:pStyle w:val="663"/>
        <w:numPr>
          <w:ilvl w:val="0"/>
          <w:numId w:val="0"/>
        </w:numPr>
        <w:ind w:right="0" w:firstLine="482"/>
        <w:keepLines w:val="0"/>
        <w:keepNext w:val="0"/>
        <w:pageBreakBefore w:val="0"/>
        <w:spacing w:line="400" w:lineRule="exact"/>
        <w:widowControl w:val="off"/>
        <w:rPr>
          <w:rFonts w:hint="eastAsia" w:ascii="宋体" w:hAnsi="宋体" w:eastAsia="宋体" w:cs="宋体"/>
          <w:b/>
          <w:bCs/>
          <w:sz w:val="36"/>
          <w:szCs w:val="36"/>
          <w:highlight w:val="none"/>
        </w:rPr>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所提供的资格证明材料应真实、有效，采购人保留对</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提供的资格证明材料进行核查的权利。如发现</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提供虚假资格证明材料，采购人将按相关规定对其进行严肃处理。</w:t>
      </w:r>
      <w:r>
        <w:rPr>
          <w:rFonts w:hint="eastAsia" w:ascii="宋体" w:hAnsi="宋体" w:eastAsia="宋体" w:cs="宋体"/>
          <w:b/>
          <w:bCs/>
          <w:sz w:val="36"/>
          <w:szCs w:val="36"/>
          <w:highlight w:val="none"/>
        </w:rPr>
      </w:r>
      <w:r/>
    </w:p>
    <w:p>
      <w:pPr>
        <w:pStyle w:val="663"/>
        <w:ind w:right="0" w:firstLine="560"/>
        <w:keepLines w:val="0"/>
        <w:keepNext w:val="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jc w:val="center"/>
        <w:keepLines w:val="0"/>
        <w:keepNext w:val="0"/>
        <w:pageBreakBefore/>
        <w:widowControl w:val="off"/>
        <w:rPr>
          <w:rFonts w:hint="eastAsia" w:ascii="宋体" w:hAnsi="宋体" w:eastAsia="宋体" w:cs="宋体"/>
          <w:b/>
          <w:bCs/>
          <w:sz w:val="32"/>
          <w:szCs w:val="32"/>
          <w:highlight w:val="none"/>
        </w:rPr>
        <w:outlineLvl w:val="0"/>
      </w:pPr>
      <w:r/>
      <w:bookmarkStart w:id="32" w:name="_Toc26585"/>
      <w:r>
        <w:rPr>
          <w:rFonts w:hint="eastAsia" w:ascii="宋体" w:hAnsi="宋体" w:eastAsia="宋体" w:cs="宋体"/>
          <w:b/>
          <w:bCs/>
          <w:sz w:val="32"/>
          <w:szCs w:val="32"/>
          <w:highlight w:val="none"/>
        </w:rPr>
        <w:t xml:space="preserve">第四章  合同格式及条款</w:t>
      </w:r>
      <w:bookmarkEnd w:id="32"/>
      <w:r>
        <w:rPr>
          <w:rFonts w:hint="eastAsia" w:ascii="宋体" w:hAnsi="宋体" w:eastAsia="宋体" w:cs="宋体"/>
          <w:b/>
          <w:bCs/>
          <w:sz w:val="32"/>
          <w:szCs w:val="32"/>
          <w:highlight w:val="none"/>
        </w:rPr>
      </w:r>
      <w:r/>
    </w:p>
    <w:p>
      <w:pPr>
        <w:pStyle w:val="663"/>
        <w:ind w:right="0" w:firstLine="48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4"/>
          <w:highlight w:val="none"/>
        </w:rPr>
        <w:t xml:space="preserve">注：以下为采购人提出中标后签订本项目合同的通用条款，</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必须实质性响应，中标</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不得提出实质性的修改，关于专用条款将由采购人与中标</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结合本项目具体情况协商后签订。</w:t>
      </w:r>
      <w:r>
        <w:rPr>
          <w:rFonts w:hint="eastAsia" w:ascii="宋体" w:hAnsi="宋体" w:eastAsia="宋体" w:cs="宋体"/>
          <w:sz w:val="28"/>
          <w:szCs w:val="28"/>
          <w:highlight w:val="none"/>
        </w:rPr>
      </w:r>
      <w:r/>
    </w:p>
    <w:p>
      <w:pPr>
        <w:pStyle w:val="663"/>
        <w:ind w:right="0"/>
        <w:jc w:val="center"/>
        <w:keepLines w:val="0"/>
        <w:keepNext w:val="0"/>
        <w:spacing w:line="500" w:lineRule="exact"/>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一、合同条款前附表</w:t>
      </w:r>
      <w:r>
        <w:rPr>
          <w:rFonts w:hint="eastAsia" w:ascii="宋体" w:hAnsi="宋体" w:eastAsia="宋体" w:cs="宋体"/>
          <w:b/>
          <w:bCs/>
          <w:sz w:val="28"/>
          <w:szCs w:val="28"/>
          <w:highlight w:val="none"/>
        </w:rPr>
      </w:r>
      <w:r/>
    </w:p>
    <w:tbl>
      <w:tblPr>
        <w:tblW w:w="9556" w:type="dxa"/>
        <w:tblInd w:w="0" w:type="dxa"/>
        <w:tblLayout w:type="fixed"/>
        <w:tblCellMar>
          <w:left w:w="108" w:type="dxa"/>
          <w:top w:w="0" w:type="dxa"/>
          <w:right w:w="108" w:type="dxa"/>
          <w:bottom w:w="0" w:type="dxa"/>
        </w:tblCellMar>
        <w:tblLook w:val="04A0" w:firstRow="1" w:lastRow="0" w:firstColumn="1" w:lastColumn="0" w:noHBand="0" w:noVBand="1"/>
      </w:tblPr>
      <w:tblGrid>
        <w:gridCol w:w="841"/>
        <w:gridCol w:w="8715"/>
      </w:tblGrid>
      <w:tr>
        <w:trPr>
          <w:trHeight w:val="5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内    容</w:t>
            </w:r>
            <w:r>
              <w:rPr>
                <w:rFonts w:hint="eastAsia" w:ascii="宋体" w:hAnsi="宋体" w:eastAsia="宋体" w:cs="宋体"/>
                <w:b/>
                <w:bCs/>
                <w:sz w:val="24"/>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keepLines w:val="0"/>
              <w:keepNext w:val="0"/>
              <w:pageBreakBefore w:val="0"/>
              <w:spacing w:line="4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val="en-US" w:eastAsia="zh-CN"/>
              </w:rPr>
              <w:t xml:space="preserve">付款方式：</w:t>
            </w:r>
            <w:r>
              <w:rPr>
                <w:rFonts w:hint="eastAsia" w:ascii="宋体" w:hAnsi="宋体" w:eastAsia="宋体" w:cs="宋体"/>
                <w:bCs/>
                <w:color w:val="000000"/>
                <w:sz w:val="24"/>
                <w:highlight w:val="none"/>
                <w:lang w:eastAsia="zh-CN"/>
              </w:rPr>
              <w:t xml:space="preserve">所有货物供货完成后付合同价的50%，经消防大队试用两个月，满足要求后出具验收合格证明付清余款。</w:t>
            </w:r>
            <w:r>
              <w:rPr>
                <w:rFonts w:hint="eastAsia" w:ascii="宋体" w:hAnsi="宋体" w:eastAsia="宋体" w:cs="宋体"/>
                <w:highlight w:val="none"/>
              </w:rPr>
            </w:r>
            <w:r/>
          </w:p>
        </w:tc>
      </w:tr>
      <w:tr>
        <w:trPr>
          <w:trHeight w:val="73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keepLines w:val="0"/>
              <w:keepNext w:val="0"/>
              <w:pageBreakBefore w:val="0"/>
              <w:spacing w:line="400" w:lineRule="exact"/>
              <w:widowControl w:val="off"/>
              <w:rPr>
                <w:rFonts w:hint="eastAsia" w:ascii="宋体" w:hAnsi="宋体" w:eastAsia="宋体" w:cs="宋体"/>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供货期限</w:t>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lang w:val="en-US" w:eastAsia="zh-CN"/>
              </w:rPr>
              <w:t xml:space="preserve">合同签订后30天内供货完毕并验收合格。</w:t>
            </w:r>
            <w:r>
              <w:rPr>
                <w:rFonts w:hint="eastAsia" w:ascii="宋体" w:hAnsi="宋体" w:eastAsia="宋体" w:cs="宋体"/>
                <w:sz w:val="24"/>
                <w:highlight w:val="none"/>
                <w:shd w:val="clear" w:color="auto" w:fill="ffffff"/>
              </w:rPr>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实施地点：采购人指定地点。</w:t>
            </w:r>
            <w:r>
              <w:rPr>
                <w:rFonts w:hint="eastAsia" w:ascii="宋体" w:hAnsi="宋体" w:eastAsia="宋体" w:cs="宋体"/>
                <w:bCs/>
                <w:sz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pStyle w:val="663"/>
              <w:ind w:right="0"/>
              <w:jc w:val="center"/>
              <w:keepLines w:val="0"/>
              <w:keepNext w:val="0"/>
              <w:pageBreakBefore w:val="0"/>
              <w:spacing w:line="40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w:t>
            </w:r>
            <w:r>
              <w:rPr>
                <w:rFonts w:ascii="宋体" w:hAnsi="宋体" w:eastAsia="宋体" w:cs="宋体"/>
                <w:b/>
                <w:bCs/>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pStyle w:val="663"/>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bCs/>
                <w:sz w:val="24"/>
                <w:lang w:val="en-US" w:eastAsia="zh-CN"/>
              </w:rPr>
              <w:t xml:space="preserve">验收方式：根据相关规定并按国家相关标准进行验收。</w:t>
            </w:r>
            <w:r>
              <w:rPr>
                <w:rFonts w:hint="eastAsia" w:ascii="宋体" w:hAnsi="宋体" w:eastAsia="宋体" w:cs="宋体"/>
                <w:bCs/>
                <w:sz w:val="24"/>
                <w:highlight w:val="none"/>
              </w:rPr>
            </w:r>
            <w:r/>
          </w:p>
        </w:tc>
      </w:tr>
    </w:tbl>
    <w:p>
      <w:pPr>
        <w:pStyle w:val="663"/>
        <w:ind w:right="0" w:firstLine="562"/>
        <w:jc w:val="center"/>
        <w:keepLines w:val="0"/>
        <w:keepNext w:val="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二、合同通用条款</w:t>
      </w:r>
      <w:r>
        <w:rPr>
          <w:rFonts w:hint="eastAsia" w:ascii="宋体" w:hAnsi="宋体" w:eastAsia="宋体" w:cs="宋体"/>
          <w:b/>
          <w:bCs/>
          <w:sz w:val="28"/>
          <w:szCs w:val="28"/>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江苏金湖经济开发区管理委员会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5.1根据采购人指定地点，卖方负责安排运输，运输费由卖方承担。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（4）采购人加盖公章证明货物交付使用合格的验收表。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w:t>
      </w:r>
      <w:r>
        <w:rPr>
          <w:rFonts w:hint="eastAsia" w:ascii="宋体" w:hAnsi="宋体" w:eastAsia="宋体" w:cs="宋体"/>
          <w:sz w:val="24"/>
          <w:highlight w:val="none"/>
          <w:lang w:eastAsia="zh-CN"/>
        </w:rPr>
        <w:t xml:space="preserve">合同</w:t>
      </w:r>
      <w:r>
        <w:rPr>
          <w:rFonts w:hint="eastAsia" w:ascii="宋体" w:hAnsi="宋体" w:eastAsia="宋体" w:cs="宋体"/>
          <w:sz w:val="24"/>
          <w:highlight w:val="none"/>
        </w:rPr>
        <w:t xml:space="preserve">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w:t>
      </w:r>
      <w:r>
        <w:rPr>
          <w:rFonts w:hint="eastAsia" w:ascii="宋体" w:hAnsi="宋体" w:eastAsia="宋体" w:cs="宋体"/>
          <w:b/>
          <w:bCs/>
          <w:sz w:val="24"/>
          <w:highlight w:val="none"/>
          <w:lang w:eastAsia="zh-CN"/>
        </w:rPr>
        <w:t xml:space="preserve">延迟</w:t>
      </w:r>
      <w:r>
        <w:rPr>
          <w:rFonts w:hint="eastAsia" w:ascii="宋体" w:hAnsi="宋体" w:eastAsia="宋体" w:cs="宋体"/>
          <w:b/>
          <w:bCs/>
          <w:sz w:val="24"/>
          <w:highlight w:val="none"/>
        </w:rPr>
        <w:t xml:space="preserve">交货、安装</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15.履约保证金</w:t>
      </w:r>
      <w:r>
        <w:rPr>
          <w:rFonts w:hint="eastAsia" w:ascii="宋体" w:hAnsi="宋体" w:eastAsia="宋体" w:cs="宋体"/>
          <w:b/>
          <w:bCs/>
          <w:sz w:val="24"/>
          <w:highlight w:val="none"/>
        </w:rPr>
      </w:r>
      <w:r/>
    </w:p>
    <w:p>
      <w:pPr>
        <w:pStyle w:val="663"/>
        <w:ind w:right="0" w:firstLine="482"/>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eastAsia="zh-CN"/>
        </w:rPr>
        <w:t xml:space="preserve">本项目无需缴纳履约保证金</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内仍得不到解决，则应申请仲裁。</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rPr>
          <w:rFonts w:hint="eastAsia" w:ascii="宋体" w:hAnsi="宋体" w:eastAsia="宋体" w:cs="宋体"/>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rPr>
          <w:rFonts w:hint="eastAsia" w:ascii="宋体" w:hAnsi="宋体" w:eastAsia="宋体" w:cs="宋体"/>
          <w:sz w:val="24"/>
          <w:highlight w:val="none"/>
        </w:rPr>
      </w:r>
      <w:r/>
    </w:p>
    <w:p>
      <w:pPr>
        <w:pStyle w:val="663"/>
        <w:ind w:right="0" w:firstLine="240"/>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rPr>
          <w:rFonts w:hint="eastAsia" w:ascii="宋体" w:hAnsi="宋体" w:eastAsia="宋体" w:cs="宋体"/>
          <w:b/>
          <w:bCs/>
          <w:sz w:val="24"/>
          <w:highlight w:val="none"/>
        </w:rPr>
      </w:r>
      <w:r/>
    </w:p>
    <w:p>
      <w:pPr>
        <w:pStyle w:val="663"/>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rPr>
          <w:rFonts w:hint="eastAsia" w:ascii="宋体" w:hAnsi="宋体" w:eastAsia="宋体" w:cs="宋体"/>
          <w:b/>
          <w:bCs/>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eastAsia="zh-CN"/>
        </w:rPr>
        <w:t xml:space="preserve">开发区专职消防队消防设备、器材采购项目</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rPr>
          <w:rFonts w:hint="eastAsia" w:ascii="宋体" w:hAnsi="宋体" w:eastAsia="宋体" w:cs="宋体"/>
          <w:sz w:val="24"/>
          <w:highlight w:val="none"/>
        </w:rPr>
      </w:r>
      <w:r/>
    </w:p>
    <w:p>
      <w:pPr>
        <w:pStyle w:val="663"/>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rPr>
          <w:rFonts w:hint="eastAsia" w:ascii="宋体" w:hAnsi="宋体" w:eastAsia="宋体" w:cs="宋体"/>
          <w:sz w:val="24"/>
          <w:highlight w:val="none"/>
        </w:rPr>
      </w:r>
      <w:r/>
    </w:p>
    <w:p>
      <w:pPr>
        <w:pStyle w:val="692"/>
        <w:ind w:left="0" w:right="0" w:firstLine="480"/>
        <w:jc w:val="left"/>
        <w:keepLines w:val="0"/>
        <w:keepNext w:val="0"/>
        <w:pageBreakBefore w:val="0"/>
        <w:spacing w:after="0"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rPr>
          <w:rFonts w:hint="eastAsia" w:ascii="宋体" w:hAnsi="宋体" w:eastAsia="宋体" w:cs="宋体"/>
          <w:sz w:val="24"/>
          <w:highlight w:val="none"/>
        </w:rPr>
      </w:r>
      <w:r/>
    </w:p>
    <w:p>
      <w:pPr>
        <w:pStyle w:val="663"/>
        <w:ind w:right="0"/>
        <w:jc w:val="center"/>
        <w:keepLines w:val="0"/>
        <w:keepNext w:val="0"/>
        <w:pageBreakBefore/>
        <w:spacing w:line="500" w:lineRule="exact"/>
        <w:rPr>
          <w:rFonts w:hint="eastAsia" w:ascii="宋体" w:hAnsi="宋体" w:eastAsia="宋体" w:cs="宋体"/>
          <w:b/>
          <w:bCs/>
          <w:sz w:val="32"/>
          <w:szCs w:val="32"/>
          <w:highlight w:val="none"/>
          <w:lang w:eastAsia="zh-CN"/>
        </w:rPr>
        <w:outlineLvl w:val="9"/>
      </w:pPr>
      <w:r>
        <w:rPr>
          <w:rFonts w:hint="eastAsia" w:ascii="宋体" w:hAnsi="宋体" w:eastAsia="宋体" w:cs="宋体"/>
          <w:b/>
          <w:bCs/>
          <w:sz w:val="28"/>
          <w:szCs w:val="28"/>
          <w:highlight w:val="none"/>
        </w:rPr>
        <w:t xml:space="preserve">三、合同</w:t>
      </w:r>
      <w:r>
        <w:rPr>
          <w:rFonts w:hint="eastAsia" w:ascii="宋体" w:hAnsi="宋体" w:eastAsia="宋体" w:cs="宋体"/>
          <w:b/>
          <w:bCs/>
          <w:sz w:val="28"/>
          <w:szCs w:val="28"/>
          <w:highlight w:val="none"/>
          <w:lang w:val="en-US" w:eastAsia="zh-CN"/>
        </w:rPr>
        <w:t xml:space="preserve">协议书</w:t>
      </w:r>
      <w:r>
        <w:rPr>
          <w:rFonts w:hint="eastAsia" w:ascii="宋体" w:hAnsi="宋体" w:eastAsia="宋体" w:cs="宋体"/>
          <w:b/>
          <w:bCs/>
          <w:sz w:val="32"/>
          <w:szCs w:val="32"/>
          <w:highlight w:val="none"/>
          <w:lang w:eastAsia="zh-CN"/>
        </w:rPr>
      </w:r>
      <w:r/>
    </w:p>
    <w:p>
      <w:pPr>
        <w:pStyle w:val="663"/>
        <w:jc w:val="left"/>
        <w:keepLines w:val="0"/>
        <w:keepNext w:val="0"/>
        <w:pageBreakBefore w:val="0"/>
        <w:spacing w:line="400" w:lineRule="exact"/>
        <w:widowControl w:val="off"/>
        <w:rPr>
          <w:rFonts w:hint="eastAsia" w:eastAsia="宋体"/>
          <w:b/>
          <w:bCs/>
          <w:color w:val="000000"/>
          <w:sz w:val="24"/>
          <w:lang w:eastAsia="zh-CN"/>
        </w:rPr>
        <w:outlineLvl w:val="9"/>
      </w:pPr>
      <w:r>
        <w:rPr>
          <w:rFonts w:hint="eastAsia"/>
          <w:b/>
          <w:bCs/>
          <w:color w:val="000000"/>
          <w:sz w:val="24"/>
        </w:rPr>
        <w:t xml:space="preserve">采购人（全称）：</w:t>
      </w:r>
      <w:r>
        <w:rPr>
          <w:rFonts w:hint="eastAsia"/>
          <w:b/>
          <w:bCs/>
          <w:color w:val="000000"/>
          <w:sz w:val="24"/>
          <w:u w:val="single"/>
          <w:lang w:eastAsia="zh-CN"/>
        </w:rPr>
        <w:t xml:space="preserve">江苏金湖经济开发区管理委员会（以下简称“买方”）</w:t>
      </w:r>
      <w:r>
        <w:rPr>
          <w:rFonts w:hint="eastAsia" w:eastAsia="宋体"/>
          <w:b/>
          <w:bCs/>
          <w:color w:val="000000"/>
          <w:sz w:val="24"/>
          <w:lang w:eastAsia="zh-CN"/>
        </w:rPr>
      </w:r>
      <w:r/>
    </w:p>
    <w:p>
      <w:pPr>
        <w:pStyle w:val="663"/>
        <w:jc w:val="left"/>
        <w:keepLines w:val="0"/>
        <w:keepNext w:val="0"/>
        <w:pageBreakBefore w:val="0"/>
        <w:spacing w:line="400" w:lineRule="exact"/>
        <w:widowControl w:val="off"/>
        <w:rPr>
          <w:rFonts w:ascii="Times New Roman" w:hAnsi="Times New Roman" w:eastAsia="宋体" w:cs="Times New Roman"/>
          <w:b/>
          <w:bCs/>
          <w:color w:val="000000"/>
          <w:sz w:val="24"/>
          <w:u w:val="single"/>
          <w:lang w:val="en-US" w:eastAsia="zh-CN"/>
        </w:rPr>
        <w:outlineLvl w:val="9"/>
      </w:pPr>
      <w:r>
        <w:rPr>
          <w:rFonts w:hint="eastAsia"/>
          <w:b/>
          <w:bCs/>
          <w:color w:val="000000"/>
          <w:sz w:val="24"/>
        </w:rPr>
        <w:t xml:space="preserve">供应商（全称）：</w:t>
      </w:r>
      <w:r>
        <w:rPr>
          <w:rFonts w:hint="eastAsia" w:ascii="宋体" w:hAnsi="宋体" w:eastAsia="宋体" w:cs="宋体"/>
          <w:b/>
          <w:bCs/>
          <w:color w:val="000000"/>
          <w:sz w:val="24"/>
          <w:u w:val="single"/>
          <w:lang w:val="en-US" w:eastAsia="zh-CN"/>
        </w:rPr>
        <w:t xml:space="preserve">                            </w:t>
      </w:r>
      <w:r>
        <w:rPr>
          <w:rFonts w:hint="eastAsia"/>
          <w:b/>
          <w:bCs/>
          <w:color w:val="000000"/>
          <w:sz w:val="24"/>
          <w:u w:val="single"/>
          <w:lang w:eastAsia="zh-CN"/>
        </w:rPr>
        <w:t xml:space="preserve">（以下简称“</w:t>
      </w:r>
      <w:r>
        <w:rPr>
          <w:rFonts w:hint="eastAsia"/>
          <w:b/>
          <w:bCs/>
          <w:color w:val="000000"/>
          <w:sz w:val="24"/>
          <w:u w:val="single"/>
          <w:lang w:val="en-US" w:eastAsia="zh-CN"/>
        </w:rPr>
        <w:t xml:space="preserve">卖</w:t>
      </w:r>
      <w:r>
        <w:rPr>
          <w:rFonts w:hint="eastAsia"/>
          <w:b/>
          <w:bCs/>
          <w:color w:val="000000"/>
          <w:sz w:val="24"/>
          <w:u w:val="single"/>
          <w:lang w:eastAsia="zh-CN"/>
        </w:rPr>
        <w:t xml:space="preserve">方”）</w:t>
      </w:r>
      <w:r>
        <w:rPr>
          <w:rFonts w:ascii="Times New Roman" w:hAnsi="Times New Roman" w:eastAsia="宋体" w:cs="Times New Roman"/>
          <w:b/>
          <w:bCs/>
          <w:color w:val="000000"/>
          <w:sz w:val="24"/>
          <w:u w:val="single"/>
          <w:lang w:val="en-US" w:eastAsia="zh-CN"/>
        </w:rPr>
      </w:r>
      <w:r/>
    </w:p>
    <w:p>
      <w:pPr>
        <w:pStyle w:val="663"/>
        <w:ind w:firstLine="480"/>
        <w:jc w:val="left"/>
        <w:keepLines w:val="0"/>
        <w:keepNext w:val="0"/>
        <w:pageBreakBefore w:val="0"/>
        <w:spacing w:line="400" w:lineRule="exact"/>
        <w:widowControl w:val="off"/>
        <w:rPr>
          <w:rFonts w:hint="eastAsia" w:ascii="Times New Roman" w:hAnsi="Times New Roman" w:eastAsia="宋体" w:cs="Times New Roman"/>
          <w:color w:val="000000"/>
          <w:sz w:val="24"/>
          <w:szCs w:val="24"/>
          <w:lang w:val="en-US" w:eastAsia="zh-CN" w:bidi="ar-SA"/>
        </w:rPr>
        <w:outlineLvl w:val="9"/>
      </w:pPr>
      <w:r>
        <w:rPr>
          <w:rFonts w:hint="eastAsia"/>
          <w:color w:val="000000"/>
          <w:sz w:val="24"/>
        </w:rPr>
        <w:t xml:space="preserve">根据《中华人民共和国政府采购法》、《中华人民共和国政府采购法实施条例》、《中华人民共和国民法典》等法律法规的规定，双方按照招标结果签订本合同。</w:t>
      </w:r>
      <w:r>
        <w:rPr>
          <w:rFonts w:hint="eastAsia" w:ascii="Times New Roman" w:hAnsi="Times New Roman" w:eastAsia="宋体" w:cs="Times New Roman"/>
          <w:color w:val="000000"/>
          <w:sz w:val="24"/>
          <w:szCs w:val="24"/>
          <w:lang w:val="en-US" w:eastAsia="zh-CN" w:bidi="ar-SA"/>
        </w:rPr>
      </w:r>
      <w:r/>
    </w:p>
    <w:p>
      <w:pPr>
        <w:pStyle w:val="692"/>
        <w:ind w:left="0" w:firstLine="482"/>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一、合同文件：下列关于金湖县政府采购的招、投标文件是构成本合同不可分割的部分：</w:t>
      </w:r>
      <w:r>
        <w:rPr>
          <w:rFonts w:hint="eastAsia" w:ascii="宋体" w:hAnsi="宋体" w:eastAsia="宋体" w:cs="宋体"/>
          <w:b/>
          <w:bCs/>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（1）合同条款及前附表；</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（2）卖方提交的投标文件；</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（3）中标通知书；</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（4）买方和卖方商定的其他必要文件。</w:t>
      </w:r>
      <w:r>
        <w:rPr>
          <w:rFonts w:hint="eastAsia" w:ascii="宋体" w:hAnsi="宋体" w:eastAsia="宋体" w:cs="宋体"/>
          <w:color w:val="000000"/>
          <w:sz w:val="24"/>
          <w:szCs w:val="24"/>
          <w:lang w:val="en-US" w:eastAsia="zh-CN" w:bidi="ar-SA"/>
        </w:rPr>
      </w:r>
      <w:r/>
    </w:p>
    <w:p>
      <w:pPr>
        <w:pStyle w:val="692"/>
        <w:ind w:left="0" w:firstLine="482"/>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二、合同范围和条件</w:t>
      </w:r>
      <w:r>
        <w:rPr>
          <w:rFonts w:hint="eastAsia" w:ascii="宋体" w:hAnsi="宋体" w:eastAsia="宋体" w:cs="宋体"/>
          <w:color w:val="000000"/>
          <w:sz w:val="24"/>
          <w:szCs w:val="24"/>
          <w:lang w:val="en-US" w:eastAsia="zh-CN" w:bidi="ar-SA"/>
        </w:rPr>
      </w:r>
      <w:r/>
    </w:p>
    <w:p>
      <w:pPr>
        <w:pStyle w:val="692"/>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金额为（大写）：_________________元整（¥：__________元）人民币。本合同价款包含所有卖方提供合同约定的产品及卖方提供合同中产品所支出的必要费用，买方在上述合同价款之外不再向卖方支付其他任何费用。</w:t>
      </w:r>
      <w:r>
        <w:rPr>
          <w:rFonts w:hint="eastAsia" w:ascii="宋体" w:hAnsi="宋体" w:eastAsia="宋体" w:cs="宋体"/>
          <w:color w:val="000000"/>
          <w:sz w:val="24"/>
          <w:szCs w:val="24"/>
          <w:lang w:val="en-US" w:eastAsia="zh-CN" w:bidi="ar-SA"/>
        </w:rPr>
      </w:r>
      <w:r/>
    </w:p>
    <w:p>
      <w:pPr>
        <w:pStyle w:val="786"/>
        <w:numPr>
          <w:ilvl w:val="0"/>
          <w:numId w:val="0"/>
        </w:numPr>
        <w:spacing w:line="440" w:lineRule="exact"/>
        <w:rPr>
          <w:rFonts w:hint="eastAsia" w:hAnsi="宋体" w:cs="宋体"/>
          <w:b/>
          <w:color w:val="000000"/>
          <w:sz w:val="24"/>
          <w:szCs w:val="24"/>
        </w:rPr>
      </w:pPr>
      <w:r>
        <w:rPr>
          <w:rFonts w:hint="eastAsia" w:hAnsi="宋体" w:cs="宋体"/>
          <w:b/>
          <w:color w:val="000000"/>
          <w:sz w:val="24"/>
          <w:szCs w:val="24"/>
          <w:lang w:val="en-US" w:eastAsia="zh-CN"/>
        </w:rPr>
        <w:t xml:space="preserve">三、</w:t>
      </w:r>
      <w:r>
        <w:rPr>
          <w:rFonts w:hint="eastAsia" w:hAnsi="宋体" w:cs="宋体"/>
          <w:b/>
          <w:color w:val="000000"/>
          <w:sz w:val="24"/>
          <w:szCs w:val="24"/>
        </w:rPr>
        <w:t xml:space="preserve">报价明细如下表：</w:t>
      </w:r>
      <w:r>
        <w:rPr>
          <w:rFonts w:hint="eastAsia" w:hAnsi="宋体" w:cs="宋体"/>
          <w:b/>
          <w:color w:val="000000"/>
          <w:sz w:val="24"/>
          <w:szCs w:val="24"/>
        </w:rPr>
      </w:r>
      <w:r/>
    </w:p>
    <w:tbl>
      <w:tblPr>
        <w:tblStyle w:val="787"/>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151"/>
        <w:gridCol w:w="1294"/>
        <w:gridCol w:w="1155"/>
        <w:gridCol w:w="1200"/>
        <w:gridCol w:w="1515"/>
        <w:gridCol w:w="1297"/>
      </w:tblGrid>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序号</w:t>
            </w:r>
            <w:r>
              <w:rPr>
                <w:rFonts w:hint="eastAsia" w:ascii="宋体" w:hAnsi="宋体" w:eastAsia="宋体" w:cs="宋体"/>
                <w:b/>
                <w:bCs/>
                <w:sz w:val="21"/>
                <w:szCs w:val="21"/>
                <w:vertAlign w:val="baseline"/>
                <w:lang w:eastAsia="zh-CN"/>
              </w:rPr>
            </w:r>
            <w:r/>
          </w:p>
        </w:tc>
        <w:tc>
          <w:tcPr>
            <w:tcW w:w="215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设备名称</w:t>
            </w:r>
            <w:r>
              <w:rPr>
                <w:rFonts w:ascii="宋体" w:hAnsi="宋体" w:eastAsia="宋体" w:cs="宋体"/>
                <w:b/>
                <w:bCs/>
                <w:sz w:val="21"/>
                <w:szCs w:val="21"/>
                <w:vertAlign w:val="baseline"/>
                <w:lang w:val="en-US" w:eastAsia="zh-CN"/>
              </w:rPr>
            </w:r>
            <w:r/>
          </w:p>
        </w:tc>
        <w:tc>
          <w:tcPr>
            <w:tcW w:w="1294"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单位</w:t>
            </w:r>
            <w:r>
              <w:rPr>
                <w:rFonts w:hint="eastAsia" w:ascii="宋体" w:hAnsi="宋体" w:eastAsia="宋体" w:cs="宋体"/>
                <w:b/>
                <w:bCs/>
                <w:sz w:val="21"/>
                <w:szCs w:val="21"/>
                <w:vertAlign w:val="baseline"/>
                <w:lang w:eastAsia="zh-CN"/>
              </w:rPr>
            </w:r>
            <w:r/>
          </w:p>
        </w:tc>
        <w:tc>
          <w:tcPr>
            <w:tcW w:w="1155"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数量</w:t>
            </w:r>
            <w:r>
              <w:rPr>
                <w:rFonts w:hint="eastAsia" w:ascii="宋体" w:hAnsi="宋体" w:eastAsia="宋体" w:cs="宋体"/>
                <w:b/>
                <w:bCs/>
                <w:sz w:val="21"/>
                <w:szCs w:val="21"/>
                <w:vertAlign w:val="baseline"/>
                <w:lang w:eastAsia="zh-CN"/>
              </w:rPr>
            </w:r>
            <w:r/>
          </w:p>
        </w:tc>
        <w:tc>
          <w:tcPr>
            <w:tcW w:w="120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eastAsia="zh-CN"/>
              </w:rPr>
            </w:r>
            <w:r/>
          </w:p>
        </w:tc>
        <w:tc>
          <w:tcPr>
            <w:tcW w:w="1515"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eastAsia="zh-CN"/>
              </w:rPr>
            </w:r>
            <w:r/>
          </w:p>
        </w:tc>
        <w:tc>
          <w:tcPr>
            <w:tcW w:w="1297"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备注</w:t>
            </w:r>
            <w:r>
              <w:rPr>
                <w:rFonts w:ascii="宋体" w:hAnsi="宋体" w:eastAsia="宋体" w:cs="宋体"/>
                <w:b/>
                <w:bCs/>
                <w:sz w:val="21"/>
                <w:szCs w:val="21"/>
                <w:vertAlign w:val="baseline"/>
                <w:lang w:val="en-US" w:eastAsia="zh-CN"/>
              </w:rPr>
            </w:r>
            <w:r/>
          </w:p>
        </w:tc>
      </w:tr>
      <w:tr>
        <w:trPr>
          <w:trHeight w:val="438"/>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w:t>
            </w:r>
            <w:r>
              <w:rPr>
                <w:rFonts w:ascii="宋体" w:hAnsi="宋体" w:eastAsia="宋体" w:cs="宋体"/>
                <w:sz w:val="21"/>
                <w:szCs w:val="21"/>
                <w:vertAlign w:val="baseline"/>
                <w:lang w:val="en-US" w:eastAsia="zh-CN"/>
              </w:rPr>
            </w:r>
            <w:r/>
          </w:p>
        </w:tc>
        <w:tc>
          <w:tcPr>
            <w:tcW w:w="2151" w:type="dxa"/>
            <w:vAlign w:val="center"/>
            <w:textDirection w:val="lrTb"/>
            <w:noWrap w:val="false"/>
          </w:tcPr>
          <w:p>
            <w:pPr>
              <w:pStyle w:val="668"/>
              <w:ind w:left="0" w:right="0" w:firstLine="0"/>
              <w:jc w:val="center"/>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8"/>
              <w:ind w:left="0" w:right="0" w:firstLine="0"/>
              <w:jc w:val="center"/>
              <w:keepLines w:val="0"/>
              <w:keepNext w:val="0"/>
              <w:pageBreakBefore w:val="0"/>
              <w:spacing w:before="71" w:after="0" w:line="400" w:lineRule="exact"/>
              <w:widowControl/>
              <w:tabs>
                <w:tab w:val="left" w:pos="1440" w:leader="none"/>
              </w:tabs>
              <w:rPr>
                <w:rFonts w:hint="eastAsia" w:ascii="宋体" w:hAnsi="宋体" w:eastAsia="宋体" w:cs="宋体"/>
                <w:sz w:val="21"/>
                <w:szCs w:val="21"/>
                <w:vertAlign w:val="baseline"/>
                <w:lang w:eastAsia="zh-CN"/>
              </w:rPr>
              <w:outlineLvl w:val="8"/>
            </w:pPr>
            <w:r>
              <w:rPr>
                <w:rFonts w:hint="eastAsia" w:ascii="宋体" w:hAnsi="宋体" w:eastAsia="宋体" w:cs="宋体"/>
                <w:sz w:val="21"/>
                <w:szCs w:val="21"/>
                <w:vertAlign w:val="baseline"/>
                <w:lang w:eastAsia="zh-CN"/>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r>
            <w:r/>
          </w:p>
        </w:tc>
        <w:tc>
          <w:tcPr>
            <w:tcW w:w="2151"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r>
            <w:r/>
          </w:p>
        </w:tc>
        <w:tc>
          <w:tcPr>
            <w:tcW w:w="2151" w:type="dxa"/>
            <w:vAlign w:val="center"/>
            <w:textDirection w:val="lrTb"/>
            <w:noWrap w:val="false"/>
          </w:tcPr>
          <w:p>
            <w:pPr>
              <w:pStyle w:val="663"/>
              <w:jc w:val="center"/>
              <w:keepLines w:val="0"/>
              <w:keepNext w:val="0"/>
              <w:pageBreakBefore w:val="0"/>
              <w:spacing w:line="400" w:lineRule="exact"/>
              <w:widowControl/>
              <w:rPr>
                <w:rFonts w:ascii="宋体" w:hAnsi="宋体" w:eastAsia="宋体" w:cs="宋体"/>
                <w:sz w:val="21"/>
                <w:szCs w:val="21"/>
                <w:vertAlign w:val="baseline"/>
                <w:lang w:val="en-US" w:eastAsia="zh-CN"/>
              </w:rPr>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tcW w:w="1110"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sz w:val="21"/>
                <w:szCs w:val="21"/>
                <w:vertAlign w:val="baseline"/>
                <w:lang w:val="en-US" w:eastAsia="zh-CN"/>
              </w:rPr>
              <w:suppressLineNumbers w:val="0"/>
            </w:pPr>
            <w:r>
              <w:rPr>
                <w:rFonts w:ascii="宋体" w:hAnsi="宋体" w:eastAsia="宋体" w:cs="宋体"/>
                <w:sz w:val="21"/>
                <w:szCs w:val="21"/>
                <w:vertAlign w:val="baseline"/>
                <w:lang w:val="en-US" w:eastAsia="zh-CN"/>
              </w:rPr>
            </w:r>
            <w:r/>
          </w:p>
        </w:tc>
        <w:tc>
          <w:tcPr>
            <w:tcW w:w="2151" w:type="dxa"/>
            <w:vAlign w:val="center"/>
            <w:textDirection w:val="lrTb"/>
            <w:noWrap w:val="false"/>
          </w:tcPr>
          <w:p>
            <w:pPr>
              <w:pStyle w:val="663"/>
              <w:jc w:val="center"/>
              <w:keepLines w:val="0"/>
              <w:keepNext w:val="0"/>
              <w:pageBreakBefore w:val="0"/>
              <w:spacing w:line="400" w:lineRule="exact"/>
              <w:widowControl/>
              <w:rPr>
                <w:rFonts w:ascii="宋体" w:hAnsi="宋体" w:eastAsia="宋体" w:cs="宋体"/>
                <w:sz w:val="21"/>
                <w:szCs w:val="21"/>
                <w:vertAlign w:val="baseline"/>
                <w:lang w:val="en-US" w:eastAsia="zh-CN"/>
              </w:rPr>
            </w:pPr>
            <w:r>
              <w:rPr>
                <w:rFonts w:ascii="宋体" w:hAnsi="宋体" w:eastAsia="宋体" w:cs="宋体"/>
                <w:sz w:val="21"/>
                <w:szCs w:val="21"/>
                <w:vertAlign w:val="baseline"/>
                <w:lang w:val="en-US" w:eastAsia="zh-CN"/>
              </w:rPr>
            </w:r>
            <w:r/>
          </w:p>
        </w:tc>
        <w:tc>
          <w:tcPr>
            <w:tcW w:w="1294" w:type="dxa"/>
            <w:vAlign w:val="center"/>
            <w:textDirection w:val="lrTb"/>
            <w:noWrap w:val="false"/>
          </w:tcPr>
          <w:p>
            <w:pPr>
              <w:pStyle w:val="663"/>
              <w:jc w:val="center"/>
              <w:keepLines w:val="0"/>
              <w:keepNext w:val="0"/>
              <w:pageBreakBefore w:val="0"/>
              <w:spacing w:line="400" w:lineRule="exact"/>
              <w:widowControl/>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55" w:type="dxa"/>
            <w:vAlign w:val="center"/>
            <w:textDirection w:val="lrTb"/>
            <w:noWrap w:val="false"/>
          </w:tcPr>
          <w:p>
            <w:pPr>
              <w:pStyle w:val="668"/>
              <w:ind w:left="0" w:right="0" w:firstLine="0"/>
              <w:jc w:val="both"/>
              <w:keepLines w:val="0"/>
              <w:keepNext w:val="0"/>
              <w:pageBreakBefore w:val="0"/>
              <w:spacing w:before="71" w:after="0" w:line="400" w:lineRule="exact"/>
              <w:widowControl/>
              <w:tabs>
                <w:tab w:val="left" w:pos="1440" w:leader="none"/>
              </w:tabs>
              <w:rPr>
                <w:rFonts w:ascii="宋体" w:hAnsi="宋体" w:eastAsia="宋体" w:cs="宋体"/>
                <w:sz w:val="21"/>
                <w:szCs w:val="21"/>
                <w:vertAlign w:val="baseline"/>
                <w:lang w:val="en-US" w:eastAsia="zh-CN"/>
              </w:rPr>
              <w:outlineLvl w:val="8"/>
            </w:pPr>
            <w:r>
              <w:rPr>
                <w:rFonts w:ascii="宋体" w:hAnsi="宋体" w:eastAsia="宋体" w:cs="宋体"/>
                <w:sz w:val="21"/>
                <w:szCs w:val="21"/>
                <w:vertAlign w:val="baseline"/>
                <w:lang w:val="en-US" w:eastAsia="zh-CN"/>
              </w:rPr>
            </w:r>
            <w:r/>
          </w:p>
        </w:tc>
        <w:tc>
          <w:tcPr>
            <w:tcW w:w="1200"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515"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297" w:type="dxa"/>
            <w:vAlign w:val="top"/>
            <w:textDirection w:val="lrTb"/>
            <w:noWrap w:val="false"/>
          </w:tcPr>
          <w:p>
            <w:pPr>
              <w:pStyle w:val="663"/>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c>
          <w:tcPr>
            <w:gridSpan w:val="2"/>
            <w:tcW w:w="326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eastAsia="zh-CN"/>
              </w:rPr>
              <w:t xml:space="preserve">合</w:t>
            </w:r>
            <w:r>
              <w:rPr>
                <w:rFonts w:hint="eastAsia" w:ascii="宋体" w:hAnsi="宋体" w:eastAsia="宋体" w:cs="宋体"/>
                <w:sz w:val="21"/>
                <w:szCs w:val="21"/>
                <w:vertAlign w:val="baseline"/>
                <w:lang w:val="en-US" w:eastAsia="zh-CN"/>
              </w:rPr>
              <w:t xml:space="preserve">  </w:t>
            </w:r>
            <w:r>
              <w:rPr>
                <w:rFonts w:hint="eastAsia" w:ascii="宋体" w:hAnsi="宋体" w:eastAsia="宋体" w:cs="宋体"/>
                <w:sz w:val="21"/>
                <w:szCs w:val="21"/>
                <w:vertAlign w:val="baseline"/>
                <w:lang w:eastAsia="zh-CN"/>
              </w:rPr>
              <w:t xml:space="preserve">计</w:t>
            </w:r>
            <w:r>
              <w:rPr>
                <w:rFonts w:hint="eastAsia" w:ascii="宋体" w:hAnsi="宋体" w:eastAsia="宋体" w:cs="宋体"/>
                <w:sz w:val="21"/>
                <w:szCs w:val="21"/>
                <w:vertAlign w:val="baseline"/>
              </w:rPr>
            </w:r>
            <w:r/>
          </w:p>
        </w:tc>
        <w:tc>
          <w:tcPr>
            <w:gridSpan w:val="5"/>
            <w:tcW w:w="6461" w:type="dxa"/>
            <w:vAlign w:val="top"/>
            <w:textDirection w:val="lrTb"/>
            <w:noWrap w:val="false"/>
          </w:tcPr>
          <w:p>
            <w:pPr>
              <w:pStyle w:val="663"/>
              <w:ind w:left="0" w:right="0"/>
              <w:jc w:val="center"/>
              <w:keepLines w:val="0"/>
              <w:keepNext w:val="0"/>
              <w:pageBreakBefore w:val="0"/>
              <w:spacing w:before="0" w:beforeAutospacing="0" w:after="0" w:afterAutospacing="0" w:line="360" w:lineRule="auto"/>
              <w:widowControl w:val="off"/>
              <w:tabs>
                <w:tab w:val="left" w:pos="3108" w:leader="none"/>
              </w:tabs>
              <w:rPr>
                <w:rFonts w:hint="eastAsia" w:ascii="宋体" w:hAnsi="宋体" w:eastAsia="宋体" w:cs="宋体"/>
                <w:sz w:val="21"/>
                <w:szCs w:val="21"/>
                <w:vertAlign w:val="baseline"/>
                <w:lang w:eastAsia="zh-CN"/>
              </w:rPr>
              <w:suppressLineNumbers w:val="0"/>
            </w:pPr>
            <w:r>
              <w:rPr>
                <w:rFonts w:hint="eastAsia" w:ascii="宋体" w:hAnsi="宋体" w:eastAsia="宋体" w:cs="宋体"/>
                <w:sz w:val="21"/>
                <w:szCs w:val="21"/>
                <w:vertAlign w:val="baseline"/>
                <w:lang w:eastAsia="zh-CN"/>
              </w:rPr>
              <w:t xml:space="preserve">大写：</w:t>
            </w:r>
            <w:r>
              <w:rPr>
                <w:rFonts w:hint="eastAsia" w:ascii="宋体" w:hAnsi="宋体" w:eastAsia="宋体" w:cs="宋体"/>
                <w:sz w:val="21"/>
                <w:szCs w:val="21"/>
                <w:vertAlign w:val="baseline"/>
                <w:lang w:val="en-US" w:eastAsia="zh-CN"/>
              </w:rPr>
              <w:t xml:space="preserve">             元（小写¥：          ）</w:t>
            </w:r>
            <w:r>
              <w:rPr>
                <w:rFonts w:hint="eastAsia" w:ascii="宋体" w:hAnsi="宋体" w:eastAsia="宋体" w:cs="宋体"/>
                <w:sz w:val="21"/>
                <w:szCs w:val="21"/>
                <w:vertAlign w:val="baseline"/>
                <w:lang w:eastAsia="zh-CN"/>
              </w:rPr>
            </w:r>
            <w:r/>
          </w:p>
        </w:tc>
      </w:tr>
    </w:tbl>
    <w:p>
      <w:pPr>
        <w:pStyle w:val="786"/>
        <w:numPr>
          <w:ilvl w:val="0"/>
          <w:numId w:val="0"/>
        </w:numPr>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sz w:val="24"/>
          <w:szCs w:val="24"/>
          <w:lang w:eastAsia="zh-CN"/>
        </w:rPr>
        <w:t xml:space="preserve">四、</w:t>
      </w:r>
      <w:r>
        <w:rPr>
          <w:rFonts w:hint="eastAsia" w:hAnsi="宋体" w:eastAsia="宋体" w:cs="宋体"/>
          <w:b/>
          <w:sz w:val="24"/>
          <w:szCs w:val="24"/>
          <w:lang w:val="en-US" w:eastAsia="zh-CN"/>
        </w:rPr>
        <w:t xml:space="preserve">供货期限</w:t>
      </w:r>
      <w:r>
        <w:rPr>
          <w:rFonts w:hint="eastAsia" w:ascii="宋体" w:hAnsi="宋体" w:eastAsia="宋体" w:cs="宋体"/>
          <w:b/>
          <w:sz w:val="24"/>
          <w:szCs w:val="24"/>
        </w:rPr>
        <w:t xml:space="preserve">：</w:t>
      </w:r>
      <w:r>
        <w:rPr>
          <w:rFonts w:hint="eastAsia" w:ascii="宋体" w:hAnsi="宋体" w:eastAsia="宋体" w:cs="宋体"/>
          <w:b w:val="0"/>
          <w:bCs/>
          <w:sz w:val="24"/>
          <w:szCs w:val="24"/>
          <w:lang w:val="en-US" w:eastAsia="zh-CN"/>
        </w:rPr>
        <w:t xml:space="preserve">合同签订后</w:t>
      </w:r>
      <w:r>
        <w:rPr>
          <w:rFonts w:hint="eastAsia"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lang w:val="en-US" w:eastAsia="zh-CN"/>
        </w:rPr>
        <w:t xml:space="preserve">天内</w:t>
      </w:r>
      <w:r>
        <w:rPr>
          <w:rFonts w:hint="eastAsia" w:hAnsi="宋体" w:eastAsia="宋体" w:cs="宋体"/>
          <w:b w:val="0"/>
          <w:bCs/>
          <w:sz w:val="24"/>
          <w:szCs w:val="24"/>
          <w:highlight w:val="none"/>
          <w:lang w:val="en-US" w:eastAsia="zh-CN"/>
        </w:rPr>
        <w:t xml:space="preserve">供货</w:t>
      </w:r>
      <w:r>
        <w:rPr>
          <w:rFonts w:hint="eastAsia" w:ascii="宋体" w:hAnsi="宋体" w:eastAsia="宋体" w:cs="宋体"/>
          <w:b w:val="0"/>
          <w:bCs/>
          <w:sz w:val="24"/>
          <w:szCs w:val="24"/>
          <w:lang w:val="en-US" w:eastAsia="zh-CN"/>
        </w:rPr>
        <w:t xml:space="preserve">完毕并验收合格</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786"/>
        <w:numPr>
          <w:ilvl w:val="0"/>
          <w:numId w:val="0"/>
        </w:numPr>
        <w:ind w:firstLine="482"/>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五、质量：</w:t>
      </w:r>
      <w:r>
        <w:rPr>
          <w:rFonts w:hint="eastAsia" w:ascii="宋体" w:hAnsi="宋体" w:eastAsia="宋体" w:cs="宋体"/>
          <w:b w:val="0"/>
          <w:bCs/>
          <w:sz w:val="24"/>
          <w:szCs w:val="24"/>
          <w:lang w:eastAsia="zh-CN"/>
        </w:rPr>
        <w:t xml:space="preserve">合格，满足采购需求</w:t>
      </w:r>
      <w:r>
        <w:rPr>
          <w:rFonts w:hint="eastAsia" w:ascii="宋体" w:hAnsi="宋体" w:eastAsia="宋体" w:cs="宋体"/>
          <w:b/>
          <w:bCs w:val="0"/>
          <w:sz w:val="24"/>
          <w:szCs w:val="24"/>
          <w:lang w:eastAsia="zh-CN"/>
        </w:rPr>
      </w:r>
      <w:r/>
    </w:p>
    <w:p>
      <w:pPr>
        <w:pStyle w:val="786"/>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项目实施</w:t>
      </w:r>
      <w:r>
        <w:rPr>
          <w:rFonts w:hint="eastAsia" w:ascii="宋体" w:hAnsi="宋体" w:eastAsia="宋体" w:cs="宋体"/>
          <w:b/>
          <w:sz w:val="24"/>
          <w:szCs w:val="24"/>
        </w:rPr>
        <w:t xml:space="preserve">地点：</w:t>
      </w:r>
      <w:r>
        <w:rPr>
          <w:rFonts w:hint="eastAsia" w:ascii="宋体" w:hAnsi="宋体" w:eastAsia="宋体" w:cs="宋体"/>
          <w:b w:val="0"/>
          <w:bCs/>
          <w:sz w:val="24"/>
          <w:szCs w:val="24"/>
          <w:lang w:eastAsia="zh-CN"/>
        </w:rPr>
        <w:t xml:space="preserve">采购人指定地点</w:t>
      </w:r>
      <w:r>
        <w:rPr>
          <w:rFonts w:hint="eastAsia" w:ascii="宋体" w:hAnsi="宋体" w:eastAsia="宋体" w:cs="宋体"/>
          <w:b w:val="0"/>
          <w:bCs/>
          <w:sz w:val="24"/>
          <w:szCs w:val="24"/>
          <w:lang w:eastAsia="zh-CN"/>
        </w:rPr>
      </w:r>
      <w:r/>
    </w:p>
    <w:p>
      <w:pPr>
        <w:pStyle w:val="786"/>
        <w:ind w:firstLine="482"/>
        <w:jc w:val="left"/>
        <w:keepLines w:val="0"/>
        <w:keepNext w:val="0"/>
        <w:pageBreakBefore w:val="0"/>
        <w:spacing w:line="400" w:lineRule="exact"/>
        <w:rPr>
          <w:rFonts w:ascii="宋体" w:hAnsi="宋体" w:eastAsia="宋体" w:cs="宋体"/>
          <w:b/>
          <w:sz w:val="24"/>
          <w:szCs w:val="24"/>
          <w:lang w:val="en-US" w:eastAsia="zh-CN"/>
        </w:rPr>
      </w:pPr>
      <w:r>
        <w:rPr>
          <w:rFonts w:hint="eastAsia" w:ascii="宋体" w:hAnsi="宋体" w:eastAsia="宋体" w:cs="宋体"/>
          <w:b/>
          <w:sz w:val="24"/>
          <w:szCs w:val="24"/>
          <w:lang w:eastAsia="zh-CN"/>
        </w:rPr>
        <w:t xml:space="preserve">七、质保期：</w:t>
      </w:r>
      <w:r>
        <w:rPr>
          <w:rFonts w:hint="eastAsia" w:hAnsi="宋体" w:eastAsia="宋体" w:cs="宋体"/>
          <w:b/>
          <w:sz w:val="24"/>
          <w:szCs w:val="24"/>
          <w:u w:val="single"/>
          <w:lang w:val="en-US" w:eastAsia="zh-CN"/>
        </w:rPr>
        <w:t xml:space="preserve">    </w:t>
      </w:r>
      <w:r>
        <w:rPr>
          <w:rFonts w:hint="eastAsia" w:ascii="宋体" w:hAnsi="宋体" w:eastAsia="宋体" w:cs="宋体"/>
          <w:b w:val="0"/>
          <w:bCs/>
          <w:sz w:val="24"/>
          <w:szCs w:val="24"/>
          <w:lang w:val="en-US" w:eastAsia="zh-CN"/>
        </w:rPr>
        <w:t xml:space="preserve">年（自验收合格之日起算）</w:t>
      </w:r>
      <w:r>
        <w:rPr>
          <w:rFonts w:ascii="宋体" w:hAnsi="宋体" w:eastAsia="宋体" w:cs="宋体"/>
          <w:b/>
          <w:sz w:val="24"/>
          <w:szCs w:val="24"/>
          <w:lang w:val="en-US" w:eastAsia="zh-CN"/>
        </w:rPr>
      </w:r>
      <w:r/>
    </w:p>
    <w:p>
      <w:pPr>
        <w:pStyle w:val="663"/>
        <w:ind w:firstLine="482"/>
        <w:jc w:val="left"/>
        <w:keepLines w:val="0"/>
        <w:keepNext w:val="0"/>
        <w:pageBreakBefore w:val="0"/>
        <w:spacing w:line="400" w:lineRule="exact"/>
        <w:tabs>
          <w:tab w:val="left" w:pos="180" w:leader="none"/>
        </w:tabs>
        <w:rPr>
          <w:rFonts w:ascii="宋体" w:hAnsi="宋体" w:eastAsia="宋体" w:cs="宋体"/>
          <w:b w:val="0"/>
          <w:bCs/>
          <w:sz w:val="24"/>
          <w:szCs w:val="24"/>
          <w:lang w:val="en-US" w:eastAsia="zh-CN" w:bidi="ar-SA"/>
        </w:rPr>
      </w:pPr>
      <w:r>
        <w:rPr>
          <w:rFonts w:hint="eastAsia" w:ascii="宋体" w:hAnsi="宋体" w:cs="宋体"/>
          <w:b/>
          <w:bCs/>
          <w:color w:val="000000"/>
          <w:sz w:val="24"/>
          <w:lang w:eastAsia="zh-CN"/>
        </w:rPr>
        <w:t xml:space="preserve">八</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付款方式：</w:t>
      </w:r>
      <w:r>
        <w:rPr>
          <w:rFonts w:hint="eastAsia" w:ascii="宋体" w:hAnsi="宋体" w:cs="宋体"/>
          <w:sz w:val="24"/>
          <w:lang w:val="en-US" w:eastAsia="zh-CN"/>
        </w:rPr>
        <w:t xml:space="preserve">所有货物供货完成后付合同价的50%，经消防大队试用两个月，满足要求后出具验收合格证明付清余款。</w:t>
      </w:r>
      <w:r>
        <w:rPr>
          <w:rFonts w:ascii="宋体" w:hAnsi="宋体" w:eastAsia="宋体" w:cs="宋体"/>
          <w:b w:val="0"/>
          <w:bCs/>
          <w:sz w:val="24"/>
          <w:szCs w:val="24"/>
          <w:lang w:val="en-US" w:eastAsia="zh-CN" w:bidi="ar-SA"/>
        </w:rPr>
      </w:r>
      <w:r/>
    </w:p>
    <w:p>
      <w:pPr>
        <w:pStyle w:val="663"/>
        <w:ind w:firstLine="482"/>
        <w:jc w:val="left"/>
        <w:keepLines w:val="0"/>
        <w:keepNext w:val="0"/>
        <w:pageBreakBefore w:val="0"/>
        <w:spacing w:line="40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九、项目验收</w:t>
      </w:r>
      <w:r>
        <w:rPr>
          <w:rFonts w:hint="eastAsia" w:ascii="宋体" w:hAnsi="宋体" w:eastAsia="宋体" w:cs="宋体"/>
          <w:b/>
          <w:sz w:val="24"/>
          <w:szCs w:val="24"/>
          <w:lang w:val="en-US" w:eastAsia="zh-CN" w:bidi="ar-SA"/>
        </w:rPr>
      </w:r>
      <w:r/>
    </w:p>
    <w:p>
      <w:pPr>
        <w:pStyle w:val="663"/>
        <w:ind w:firstLine="480"/>
        <w:jc w:val="left"/>
        <w:keepLines w:val="0"/>
        <w:keepNext w:val="0"/>
        <w:pageBreakBefore w:val="0"/>
        <w:spacing w:line="400" w:lineRule="exact"/>
        <w:tabs>
          <w:tab w:val="left" w:pos="180" w:leader="none"/>
        </w:tabs>
        <w:rPr>
          <w:rFonts w:hint="eastAsia" w:ascii="宋体" w:hAnsi="宋体" w:cs="宋体"/>
          <w:color w:val="000000"/>
          <w:sz w:val="24"/>
          <w:lang w:val="en-US" w:eastAsia="zh-CN"/>
        </w:rPr>
      </w:pPr>
      <w:r>
        <w:rPr>
          <w:rFonts w:hint="eastAsia" w:ascii="宋体" w:hAnsi="宋体" w:cs="Times New Roman"/>
          <w:bCs/>
          <w:sz w:val="24"/>
          <w:lang w:val="en-US" w:eastAsia="zh-CN"/>
        </w:rPr>
        <w:t xml:space="preserve">项目完成后，卖方按规定提交验收申请，</w:t>
      </w:r>
      <w:r>
        <w:rPr>
          <w:rFonts w:hint="eastAsia" w:ascii="宋体" w:hAnsi="宋体" w:eastAsia="宋体" w:cs="Times New Roman"/>
          <w:bCs/>
          <w:sz w:val="24"/>
          <w:lang w:val="en-US" w:eastAsia="zh-CN"/>
        </w:rPr>
        <w:t xml:space="preserve">验收申请</w:t>
      </w:r>
      <w:r>
        <w:rPr>
          <w:rFonts w:hint="eastAsia" w:ascii="宋体" w:hAnsi="宋体" w:cs="Times New Roman"/>
          <w:bCs/>
          <w:sz w:val="24"/>
          <w:lang w:val="en-US" w:eastAsia="zh-CN"/>
        </w:rPr>
        <w:t xml:space="preserve">提交</w:t>
      </w:r>
      <w:r>
        <w:rPr>
          <w:rFonts w:hint="eastAsia" w:ascii="宋体" w:hAnsi="宋体" w:eastAsia="宋体" w:cs="Times New Roman"/>
          <w:bCs/>
          <w:sz w:val="24"/>
          <w:lang w:val="en-US" w:eastAsia="zh-CN"/>
        </w:rPr>
        <w:t xml:space="preserve">后5个工作日内</w:t>
      </w:r>
      <w:r>
        <w:rPr>
          <w:rFonts w:hint="eastAsia" w:ascii="宋体" w:hAnsi="宋体" w:eastAsia="宋体" w:cs="宋体"/>
          <w:bCs/>
          <w:sz w:val="24"/>
          <w:lang w:val="en-US" w:eastAsia="zh-CN"/>
        </w:rPr>
        <w:t xml:space="preserve">买方</w:t>
      </w:r>
      <w:r>
        <w:rPr>
          <w:rFonts w:hint="eastAsia" w:ascii="宋体" w:hAnsi="宋体" w:eastAsia="宋体" w:cs="宋体"/>
          <w:bCs/>
          <w:sz w:val="24"/>
        </w:rPr>
        <w:t xml:space="preserve">依法组织履约验收工作</w:t>
      </w:r>
      <w:r>
        <w:rPr>
          <w:rFonts w:hint="eastAsia" w:ascii="宋体" w:hAnsi="宋体" w:eastAsia="宋体" w:cs="Times New Roman"/>
          <w:bCs/>
          <w:sz w:val="24"/>
          <w:lang w:val="en-US" w:eastAsia="zh-CN"/>
        </w:rPr>
        <w:t xml:space="preserve">，</w:t>
      </w:r>
      <w:r>
        <w:rPr>
          <w:rFonts w:hint="eastAsia" w:ascii="宋体" w:hAnsi="宋体" w:cs="Times New Roman"/>
          <w:bCs/>
          <w:sz w:val="24"/>
          <w:lang w:val="en-US" w:eastAsia="zh-CN"/>
        </w:rPr>
        <w:t xml:space="preserve">验收合格后</w:t>
      </w:r>
      <w:r>
        <w:rPr>
          <w:rFonts w:hint="eastAsia" w:ascii="宋体" w:hAnsi="宋体" w:eastAsia="宋体" w:cs="Times New Roman"/>
          <w:bCs/>
          <w:sz w:val="24"/>
          <w:lang w:val="en-US" w:eastAsia="zh-CN"/>
        </w:rPr>
        <w:t xml:space="preserve">2个工作日内出</w:t>
      </w:r>
      <w:r>
        <w:rPr>
          <w:rFonts w:hint="eastAsia" w:ascii="宋体" w:hAnsi="宋体" w:cs="Times New Roman"/>
          <w:bCs/>
          <w:sz w:val="24"/>
          <w:lang w:val="en-US" w:eastAsia="zh-CN"/>
        </w:rPr>
        <w:t xml:space="preserve">具</w:t>
      </w:r>
      <w:r>
        <w:rPr>
          <w:rFonts w:hint="eastAsia" w:ascii="宋体" w:hAnsi="宋体" w:eastAsia="宋体" w:cs="Times New Roman"/>
          <w:bCs/>
          <w:sz w:val="24"/>
          <w:lang w:val="en-US" w:eastAsia="zh-CN"/>
        </w:rPr>
        <w:t xml:space="preserve">验收书</w:t>
      </w:r>
      <w:r>
        <w:rPr>
          <w:rFonts w:hint="eastAsia" w:ascii="宋体" w:hAnsi="宋体" w:cs="Times New Roman"/>
          <w:bCs/>
          <w:sz w:val="24"/>
          <w:lang w:val="en-US" w:eastAsia="zh-CN"/>
        </w:rPr>
        <w:t xml:space="preserve">。因货物质量问题导致的重复验收费用由供应商承担</w:t>
      </w:r>
      <w:r>
        <w:rPr>
          <w:rFonts w:hint="eastAsia" w:ascii="宋体" w:hAnsi="宋体" w:cs="宋体"/>
          <w:color w:val="000000"/>
          <w:sz w:val="24"/>
          <w:lang w:val="en-US" w:eastAsia="zh-CN"/>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val="en-US" w:eastAsia="zh-CN"/>
        </w:rPr>
        <w:t xml:space="preserve">十</w:t>
      </w:r>
      <w:r>
        <w:rPr>
          <w:rFonts w:hint="eastAsia" w:ascii="宋体" w:hAnsi="宋体" w:cs="宋体"/>
          <w:b/>
          <w:bCs/>
          <w:sz w:val="24"/>
        </w:rPr>
        <w:t xml:space="preserve">、供货及知识产权</w:t>
      </w:r>
      <w:r>
        <w:rPr>
          <w:rFonts w:hint="eastAsia" w:ascii="宋体" w:hAnsi="宋体" w:cs="宋体"/>
          <w:b/>
          <w:bCs/>
          <w:sz w:val="24"/>
        </w:rPr>
      </w:r>
      <w:r/>
    </w:p>
    <w:p>
      <w:pPr>
        <w:pStyle w:val="663"/>
        <w:ind w:firstLine="480"/>
        <w:jc w:val="left"/>
        <w:keepLines w:val="0"/>
        <w:keepNext w:val="0"/>
        <w:pageBreakBefore w:val="0"/>
        <w:spacing w:line="400" w:lineRule="exact"/>
        <w:widowControl/>
        <w:tabs>
          <w:tab w:val="left" w:pos="567" w:leader="none"/>
        </w:tabs>
        <w:rPr>
          <w:rFonts w:hint="eastAsia" w:ascii="宋体" w:hAnsi="宋体" w:cs="宋体"/>
          <w:bCs/>
          <w:sz w:val="24"/>
        </w:rPr>
      </w:pPr>
      <w:r>
        <w:rPr>
          <w:rFonts w:hint="eastAsia" w:ascii="宋体" w:hAnsi="宋体" w:cs="宋体"/>
          <w:bCs/>
          <w:sz w:val="24"/>
          <w:lang w:eastAsia="zh-CN"/>
        </w:rPr>
        <w:t xml:space="preserve">卖方</w:t>
      </w:r>
      <w:r>
        <w:rPr>
          <w:rFonts w:hint="eastAsia" w:ascii="宋体" w:hAnsi="宋体" w:cs="宋体"/>
          <w:bCs/>
          <w:sz w:val="24"/>
        </w:rPr>
        <w:t xml:space="preserve">应按</w:t>
      </w:r>
      <w:r>
        <w:rPr>
          <w:rFonts w:hint="eastAsia" w:ascii="宋体" w:hAnsi="宋体" w:cs="宋体"/>
          <w:bCs/>
          <w:sz w:val="24"/>
          <w:lang w:eastAsia="zh-CN"/>
        </w:rPr>
        <w:t xml:space="preserve">磋商</w:t>
      </w:r>
      <w:r>
        <w:rPr>
          <w:rFonts w:hint="eastAsia" w:ascii="宋体" w:hAnsi="宋体" w:cs="宋体"/>
          <w:bCs/>
          <w:sz w:val="24"/>
        </w:rPr>
        <w:t xml:space="preserve">文件规定及响应文件承诺的货物性能、技术要求、质量标准向</w:t>
      </w:r>
      <w:r>
        <w:rPr>
          <w:rFonts w:hint="eastAsia" w:ascii="宋体" w:hAnsi="宋体" w:cs="宋体"/>
          <w:bCs/>
          <w:sz w:val="24"/>
          <w:lang w:eastAsia="zh-CN"/>
        </w:rPr>
        <w:t xml:space="preserve">买方</w:t>
      </w:r>
      <w:r>
        <w:rPr>
          <w:rFonts w:hint="eastAsia" w:ascii="宋体" w:hAnsi="宋体" w:cs="宋体"/>
          <w:bCs/>
          <w:sz w:val="24"/>
        </w:rPr>
        <w:t xml:space="preserve">提供未经使用的全新产品。</w:t>
      </w:r>
      <w:r>
        <w:rPr>
          <w:rFonts w:hint="eastAsia" w:ascii="宋体" w:hAnsi="宋体" w:cs="宋体"/>
          <w:bCs/>
          <w:sz w:val="24"/>
          <w:lang w:eastAsia="zh-CN"/>
        </w:rPr>
        <w:t xml:space="preserve">卖方</w:t>
      </w:r>
      <w:r>
        <w:rPr>
          <w:rFonts w:hint="eastAsia" w:ascii="宋体" w:hAnsi="宋体" w:cs="宋体"/>
          <w:bCs/>
          <w:sz w:val="24"/>
        </w:rPr>
        <w:t xml:space="preserve">应保证</w:t>
      </w:r>
      <w:r>
        <w:rPr>
          <w:rFonts w:hint="eastAsia" w:ascii="宋体" w:hAnsi="宋体" w:cs="宋体"/>
          <w:bCs/>
          <w:sz w:val="24"/>
          <w:lang w:eastAsia="zh-CN"/>
        </w:rPr>
        <w:t xml:space="preserve">买方</w:t>
      </w:r>
      <w:r>
        <w:rPr>
          <w:rFonts w:hint="eastAsia" w:ascii="宋体" w:hAnsi="宋体" w:cs="宋体"/>
          <w:bCs/>
          <w:sz w:val="24"/>
        </w:rPr>
        <w:t xml:space="preserve">在使用、接受本合同货物和服务或其任何一部分时不受第三方提出侵犯其专利权、版权、商标权和工业设计权等知识产权的起诉。一旦出现侵权，由</w:t>
      </w:r>
      <w:r>
        <w:rPr>
          <w:rFonts w:hint="eastAsia" w:ascii="宋体" w:hAnsi="宋体" w:cs="宋体"/>
          <w:bCs/>
          <w:sz w:val="24"/>
          <w:lang w:eastAsia="zh-CN"/>
        </w:rPr>
        <w:t xml:space="preserve">卖方</w:t>
      </w:r>
      <w:r>
        <w:rPr>
          <w:rFonts w:hint="eastAsia" w:ascii="宋体" w:hAnsi="宋体" w:cs="宋体"/>
          <w:bCs/>
          <w:sz w:val="24"/>
        </w:rPr>
        <w:t xml:space="preserve">负全部责任。</w:t>
      </w:r>
      <w:r>
        <w:rPr>
          <w:rFonts w:hint="eastAsia" w:ascii="宋体" w:hAnsi="宋体" w:cs="宋体"/>
          <w:bCs/>
          <w:sz w:val="24"/>
        </w:rPr>
      </w:r>
      <w:r/>
    </w:p>
    <w:p>
      <w:pPr>
        <w:pStyle w:val="663"/>
        <w:ind w:firstLine="482"/>
        <w:jc w:val="left"/>
        <w:keepLines w:val="0"/>
        <w:keepNext w:val="0"/>
        <w:pageBreakBefore w:val="0"/>
        <w:spacing w:line="400" w:lineRule="exact"/>
        <w:widowControl/>
        <w:tabs>
          <w:tab w:val="left" w:pos="567" w:leader="none"/>
        </w:tabs>
        <w:rPr>
          <w:rFonts w:hint="eastAsia" w:ascii="宋体" w:hAnsi="宋体" w:eastAsia="宋体" w:cs="宋体"/>
          <w:b/>
          <w:bCs/>
          <w:sz w:val="24"/>
          <w:lang w:eastAsia="zh-CN"/>
        </w:rPr>
      </w:pPr>
      <w:r>
        <w:rPr>
          <w:rFonts w:hint="eastAsia" w:ascii="宋体" w:hAnsi="宋体" w:eastAsia="宋体" w:cs="宋体"/>
          <w:b/>
          <w:bCs/>
          <w:sz w:val="24"/>
          <w:lang w:eastAsia="zh-CN"/>
        </w:rPr>
        <w:t xml:space="preserve">十</w:t>
      </w:r>
      <w:r>
        <w:rPr>
          <w:rFonts w:hint="eastAsia" w:ascii="宋体" w:hAnsi="宋体" w:eastAsia="宋体" w:cs="宋体"/>
          <w:b/>
          <w:bCs/>
          <w:sz w:val="24"/>
          <w:lang w:val="en-US" w:eastAsia="zh-CN"/>
        </w:rPr>
        <w:t xml:space="preserve">一</w:t>
      </w:r>
      <w:r>
        <w:rPr>
          <w:rFonts w:hint="eastAsia" w:ascii="宋体" w:hAnsi="宋体" w:eastAsia="宋体" w:cs="宋体"/>
          <w:b/>
          <w:bCs/>
          <w:sz w:val="24"/>
          <w:lang w:eastAsia="zh-CN"/>
        </w:rPr>
        <w:t xml:space="preserve">、安全责任</w:t>
      </w:r>
      <w:r>
        <w:rPr>
          <w:rFonts w:hint="eastAsia" w:ascii="宋体" w:hAnsi="宋体" w:eastAsia="宋体" w:cs="宋体"/>
          <w:b/>
          <w:bCs/>
          <w:sz w:val="24"/>
          <w:lang w:eastAsia="zh-CN"/>
        </w:rPr>
      </w:r>
      <w:r/>
    </w:p>
    <w:p>
      <w:pPr>
        <w:pStyle w:val="663"/>
        <w:ind w:firstLine="480"/>
        <w:jc w:val="left"/>
        <w:keepLines w:val="0"/>
        <w:keepNext w:val="0"/>
        <w:pageBreakBefore w:val="0"/>
        <w:spacing w:line="400" w:lineRule="exact"/>
        <w:widowControl/>
        <w:tabs>
          <w:tab w:val="left" w:pos="567" w:leader="none"/>
        </w:tabs>
        <w:rPr>
          <w:rFonts w:hint="eastAsia" w:ascii="宋体" w:hAnsi="宋体" w:eastAsia="宋体" w:cs="宋体"/>
          <w:bCs/>
          <w:sz w:val="24"/>
          <w:lang w:eastAsia="zh-CN"/>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必须</w:t>
      </w:r>
      <w:r>
        <w:rPr>
          <w:rFonts w:hint="eastAsia" w:ascii="宋体" w:hAnsi="宋体" w:eastAsia="宋体" w:cs="宋体"/>
          <w:bCs/>
          <w:sz w:val="24"/>
          <w:lang w:eastAsia="zh-CN"/>
        </w:rPr>
        <w:t xml:space="preserve">对进场的</w:t>
      </w:r>
      <w:r>
        <w:rPr>
          <w:rFonts w:hint="eastAsia" w:ascii="宋体" w:hAnsi="宋体" w:eastAsia="宋体" w:cs="宋体"/>
          <w:bCs/>
          <w:sz w:val="24"/>
        </w:rPr>
        <w:t xml:space="preserve">管理、</w:t>
      </w:r>
      <w:r>
        <w:rPr>
          <w:rFonts w:hint="eastAsia" w:ascii="宋体" w:hAnsi="宋体" w:eastAsia="宋体" w:cs="宋体"/>
          <w:bCs/>
          <w:sz w:val="24"/>
          <w:lang w:eastAsia="zh-CN"/>
        </w:rPr>
        <w:t xml:space="preserve">实施</w:t>
      </w:r>
      <w:r>
        <w:rPr>
          <w:rFonts w:hint="eastAsia" w:ascii="宋体" w:hAnsi="宋体" w:eastAsia="宋体" w:cs="宋体"/>
          <w:bCs/>
          <w:sz w:val="24"/>
        </w:rPr>
        <w:t xml:space="preserve">人员进行安全教育，介绍</w:t>
      </w:r>
      <w:r>
        <w:rPr>
          <w:rFonts w:hint="eastAsia" w:ascii="宋体" w:hAnsi="宋体" w:eastAsia="宋体" w:cs="宋体"/>
          <w:bCs/>
          <w:sz w:val="24"/>
          <w:lang w:eastAsia="zh-CN"/>
        </w:rPr>
        <w:t xml:space="preserve">买方相关的</w:t>
      </w:r>
      <w:r>
        <w:rPr>
          <w:rFonts w:hint="eastAsia" w:ascii="宋体" w:hAnsi="宋体" w:eastAsia="宋体" w:cs="宋体"/>
          <w:bCs/>
          <w:sz w:val="24"/>
        </w:rPr>
        <w:t xml:space="preserve">管理制度、规定和要求，</w:t>
      </w:r>
      <w:r>
        <w:rPr>
          <w:rFonts w:hint="eastAsia" w:ascii="宋体" w:hAnsi="宋体" w:eastAsia="宋体" w:cs="宋体"/>
          <w:bCs/>
          <w:sz w:val="24"/>
          <w:lang w:eastAsia="zh-CN"/>
        </w:rPr>
        <w:t xml:space="preserve">并</w:t>
      </w:r>
      <w:r>
        <w:rPr>
          <w:rFonts w:hint="eastAsia" w:ascii="宋体" w:hAnsi="宋体" w:eastAsia="宋体" w:cs="宋体"/>
          <w:bCs/>
          <w:sz w:val="24"/>
        </w:rPr>
        <w:t xml:space="preserve">检查、督促</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人员严格遵守、认真执行。</w:t>
      </w:r>
      <w:r>
        <w:rPr>
          <w:rFonts w:hint="eastAsia" w:ascii="宋体" w:hAnsi="宋体" w:eastAsia="宋体" w:cs="宋体"/>
          <w:bCs/>
          <w:sz w:val="24"/>
          <w:lang w:eastAsia="zh-CN"/>
        </w:rPr>
      </w:r>
      <w:r/>
    </w:p>
    <w:p>
      <w:pPr>
        <w:pStyle w:val="663"/>
        <w:ind w:firstLine="480"/>
        <w:jc w:val="left"/>
        <w:keepLines w:val="0"/>
        <w:keepNext w:val="0"/>
        <w:pageBreakBefore w:val="0"/>
        <w:spacing w:line="400" w:lineRule="exact"/>
        <w:widowControl/>
        <w:tabs>
          <w:tab w:val="left" w:pos="567" w:leader="none"/>
        </w:tabs>
        <w:rPr>
          <w:rFonts w:ascii="宋体" w:hAnsi="宋体"/>
          <w:szCs w:val="21"/>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前要认真</w:t>
      </w:r>
      <w:r>
        <w:rPr>
          <w:rFonts w:hint="eastAsia" w:ascii="宋体" w:hAnsi="宋体" w:eastAsia="宋体" w:cs="宋体"/>
          <w:bCs/>
          <w:sz w:val="24"/>
          <w:lang w:eastAsia="zh-CN"/>
        </w:rPr>
        <w:t xml:space="preserve">勘查现场</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卖方人员对不同安装区域、作业环境、操作设施设备、工具用具等必须认真检查，发现隐患立即停止，并由有关单位落实整改后方准继续进行。一经实施，就表示卖方确认项目实施场所、作业环境、设施设备、工具用具等符合安全要求和处于安全状态。</w:t>
      </w:r>
      <w:r>
        <w:rPr>
          <w:rFonts w:hint="eastAsia" w:ascii="宋体" w:hAnsi="宋体" w:eastAsia="宋体" w:cs="宋体"/>
          <w:bCs/>
          <w:sz w:val="24"/>
        </w:rPr>
        <w:t xml:space="preserve">进场后首先必须做好各类安全防护设施、安全标志和警告牌，防止闲杂人员进入现场，发生安全事故。</w:t>
      </w:r>
      <w:r>
        <w:rPr>
          <w:rFonts w:hint="eastAsia" w:ascii="宋体" w:hAnsi="宋体" w:eastAsia="宋体" w:cs="宋体"/>
          <w:bCs/>
          <w:sz w:val="24"/>
          <w:lang w:val="en-US" w:eastAsia="zh-CN"/>
        </w:rPr>
        <w:t xml:space="preserve">卖方对实施过程中由于上述因素不良而导致的事故后果负全部责任。</w:t>
      </w:r>
      <w:r>
        <w:rPr>
          <w:rFonts w:ascii="宋体" w:hAnsi="宋体"/>
          <w:szCs w:val="21"/>
        </w:rPr>
      </w:r>
      <w:r/>
    </w:p>
    <w:p>
      <w:pPr>
        <w:pStyle w:val="663"/>
        <w:ind w:firstLine="480"/>
        <w:jc w:val="left"/>
        <w:keepLines w:val="0"/>
        <w:keepNext w:val="0"/>
        <w:pageBreakBefore w:val="0"/>
        <w:spacing w:line="400" w:lineRule="exact"/>
        <w:widowControl/>
        <w:tabs>
          <w:tab w:val="left" w:pos="567" w:leader="none"/>
        </w:tabs>
        <w:rPr>
          <w:rFonts w:hint="eastAsia" w:ascii="宋体" w:hAnsi="宋体" w:eastAsia="宋体" w:cs="宋体"/>
          <w:bCs/>
          <w:sz w:val="24"/>
        </w:rPr>
      </w:pPr>
      <w:r>
        <w:rPr>
          <w:rFonts w:hint="eastAsia" w:ascii="宋体" w:hAnsi="宋体" w:eastAsia="宋体" w:cs="宋体"/>
          <w:bCs/>
          <w:sz w:val="24"/>
        </w:rPr>
        <w:t xml:space="preserve">贯彻谁</w:t>
      </w:r>
      <w:r>
        <w:rPr>
          <w:rFonts w:hint="eastAsia" w:ascii="宋体" w:hAnsi="宋体" w:eastAsia="宋体" w:cs="宋体"/>
          <w:bCs/>
          <w:sz w:val="24"/>
          <w:lang w:eastAsia="zh-CN"/>
        </w:rPr>
        <w:t xml:space="preserve">承接</w:t>
      </w:r>
      <w:r>
        <w:rPr>
          <w:rFonts w:hint="eastAsia" w:ascii="宋体" w:hAnsi="宋体" w:eastAsia="宋体" w:cs="宋体"/>
          <w:bCs/>
          <w:sz w:val="24"/>
        </w:rPr>
        <w:t xml:space="preserve">谁负责安全的原则。</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过程中发生的人身伤亡等一切事故，均由</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自己负责，与</w:t>
      </w:r>
      <w:r>
        <w:rPr>
          <w:rFonts w:hint="eastAsia" w:ascii="宋体" w:hAnsi="宋体" w:eastAsia="宋体" w:cs="宋体"/>
          <w:bCs/>
          <w:sz w:val="24"/>
          <w:lang w:eastAsia="zh-CN"/>
        </w:rPr>
        <w:t xml:space="preserve">买方</w:t>
      </w:r>
      <w:r>
        <w:rPr>
          <w:rFonts w:hint="eastAsia" w:ascii="宋体" w:hAnsi="宋体" w:eastAsia="宋体" w:cs="宋体"/>
          <w:bCs/>
          <w:sz w:val="24"/>
        </w:rPr>
        <w:t xml:space="preserve">无关。事故的损失和善后处理费用，由责任方承担。</w:t>
      </w:r>
      <w:r>
        <w:rPr>
          <w:rFonts w:hint="eastAsia" w:ascii="宋体" w:hAnsi="宋体" w:eastAsia="宋体" w:cs="宋体"/>
          <w:bCs/>
          <w:sz w:val="24"/>
        </w:rPr>
      </w:r>
      <w:r/>
    </w:p>
    <w:p>
      <w:pPr>
        <w:pStyle w:val="663"/>
        <w:ind w:firstLine="482"/>
        <w:jc w:val="left"/>
        <w:keepLines w:val="0"/>
        <w:keepNext w:val="0"/>
        <w:pageBreakBefore w:val="0"/>
        <w:spacing w:line="400" w:lineRule="exact"/>
        <w:widowControl/>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十二、买方应履行的职责</w:t>
      </w:r>
      <w:r>
        <w:rPr>
          <w:rFonts w:hint="eastAsia" w:ascii="宋体" w:hAnsi="宋体" w:eastAsia="宋体"/>
          <w:b/>
          <w:bCs/>
          <w:color w:val="000000"/>
          <w:sz w:val="24"/>
          <w:szCs w:val="24"/>
          <w:lang w:val="en-US" w:eastAsia="zh-CN"/>
        </w:rPr>
      </w:r>
      <w:r/>
    </w:p>
    <w:p>
      <w:pPr>
        <w:pStyle w:val="663"/>
        <w:ind w:firstLine="480"/>
        <w:jc w:val="left"/>
        <w:keepLines w:val="0"/>
        <w:keepNext w:val="0"/>
        <w:pageBreakBefore w:val="0"/>
        <w:spacing w:line="400" w:lineRule="exact"/>
        <w:tabs>
          <w:tab w:val="left" w:pos="180" w:leader="none"/>
        </w:tabs>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 xml:space="preserve">卖方将设备送到指定地点后，买方组织人员进行验货、验收。</w:t>
      </w:r>
      <w:r>
        <w:rPr>
          <w:rFonts w:hint="eastAsia" w:ascii="宋体" w:hAnsi="宋体" w:eastAsia="宋体"/>
          <w:b w:val="0"/>
          <w:bCs w:val="0"/>
          <w:color w:val="000000"/>
          <w:sz w:val="24"/>
          <w:szCs w:val="24"/>
          <w:lang w:val="en-US" w:eastAsia="zh-CN"/>
        </w:rPr>
      </w:r>
      <w:r/>
    </w:p>
    <w:p>
      <w:pPr>
        <w:pStyle w:val="663"/>
        <w:ind w:firstLine="482"/>
        <w:jc w:val="left"/>
        <w:keepLines w:val="0"/>
        <w:keepNext w:val="0"/>
        <w:pageBreakBefore w:val="0"/>
        <w:spacing w:line="400" w:lineRule="exact"/>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十三、验收</w:t>
      </w:r>
      <w:r>
        <w:rPr>
          <w:rFonts w:hint="eastAsia" w:ascii="宋体" w:hAnsi="宋体" w:eastAsia="宋体" w:cs="Times New Roman"/>
          <w:b/>
          <w:bCs/>
          <w:color w:val="000000"/>
          <w:sz w:val="24"/>
          <w:szCs w:val="24"/>
          <w:lang w:val="en-US" w:eastAsia="zh-CN"/>
        </w:rPr>
      </w:r>
      <w:r/>
    </w:p>
    <w:p>
      <w:pPr>
        <w:pStyle w:val="663"/>
        <w:ind w:firstLine="480"/>
        <w:jc w:val="left"/>
        <w:keepLines w:val="0"/>
        <w:keepNext w:val="0"/>
        <w:pageBreakBefore w:val="0"/>
        <w:spacing w:line="400" w:lineRule="exact"/>
        <w:tabs>
          <w:tab w:val="left" w:pos="180" w:leader="none"/>
        </w:tabs>
        <w:rPr>
          <w:rFonts w:hint="eastAsia"/>
          <w:lang w:eastAsia="zh-CN"/>
        </w:rPr>
      </w:pPr>
      <w:r>
        <w:rPr>
          <w:rFonts w:hint="eastAsia" w:ascii="宋体" w:hAnsi="宋体" w:eastAsia="宋体" w:cs="Times New Roman"/>
          <w:b w:val="0"/>
          <w:bCs w:val="0"/>
          <w:color w:val="000000"/>
          <w:sz w:val="24"/>
          <w:szCs w:val="24"/>
          <w:lang w:val="en-US" w:eastAsia="zh-CN"/>
        </w:rPr>
        <w:t xml:space="preserve">买方按磋商文件相关要求进行。如需委托第三方验收，验收费用由买方承担。因卖方交付的货物不符合标准导致买方重复支出的验收费用，由卖方承担。</w:t>
      </w:r>
      <w:r>
        <w:rPr>
          <w:rFonts w:hint="eastAsia"/>
          <w:lang w:eastAsia="zh-CN"/>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lang w:val="en-US" w:eastAsia="zh-CN"/>
        </w:rPr>
        <w:t xml:space="preserve">四</w:t>
      </w:r>
      <w:r>
        <w:rPr>
          <w:rFonts w:hint="eastAsia" w:ascii="宋体" w:hAnsi="宋体" w:cs="宋体"/>
          <w:b/>
          <w:bCs/>
          <w:sz w:val="24"/>
        </w:rPr>
        <w:t xml:space="preserve">、违约责任</w:t>
      </w:r>
      <w:r>
        <w:rPr>
          <w:rFonts w:hint="eastAsia" w:ascii="宋体" w:hAnsi="宋体" w:cs="宋体"/>
          <w:b/>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买方</w:t>
      </w:r>
      <w:r>
        <w:rPr>
          <w:rFonts w:hint="eastAsia" w:ascii="宋体" w:hAnsi="宋体" w:cs="宋体"/>
          <w:bCs/>
          <w:sz w:val="24"/>
        </w:rPr>
        <w:t xml:space="preserve">无正当理由拒收货物、拒付货物款的，由</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偿付合同总价的5%违约金。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买方</w:t>
      </w:r>
      <w:r>
        <w:rPr>
          <w:rFonts w:hint="eastAsia" w:ascii="宋体" w:hAnsi="宋体" w:cs="宋体"/>
          <w:bCs/>
          <w:sz w:val="24"/>
        </w:rPr>
        <w:t xml:space="preserve">未按合同规定的期限向</w:t>
      </w:r>
      <w:r>
        <w:rPr>
          <w:rFonts w:hint="eastAsia" w:ascii="宋体" w:hAnsi="宋体" w:cs="宋体"/>
          <w:bCs/>
          <w:sz w:val="24"/>
          <w:lang w:eastAsia="zh-CN"/>
        </w:rPr>
        <w:t xml:space="preserve">卖方</w:t>
      </w:r>
      <w:r>
        <w:rPr>
          <w:rFonts w:hint="eastAsia" w:ascii="宋体" w:hAnsi="宋体" w:cs="宋体"/>
          <w:bCs/>
          <w:sz w:val="24"/>
        </w:rPr>
        <w:t xml:space="preserve">支付货款的，每逾期1天</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偿付欠款总额的5‰滞纳金，但累计滞纳金总额不超过欠款总额的5%。</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3、如</w:t>
      </w:r>
      <w:r>
        <w:rPr>
          <w:rFonts w:hint="eastAsia" w:ascii="宋体" w:hAnsi="宋体" w:cs="宋体"/>
          <w:bCs/>
          <w:sz w:val="24"/>
          <w:lang w:eastAsia="zh-CN"/>
        </w:rPr>
        <w:t xml:space="preserve">卖方</w:t>
      </w:r>
      <w:r>
        <w:rPr>
          <w:rFonts w:hint="eastAsia" w:ascii="宋体" w:hAnsi="宋体" w:cs="宋体"/>
          <w:bCs/>
          <w:sz w:val="24"/>
        </w:rPr>
        <w:t xml:space="preserve">不能交付货物，</w:t>
      </w:r>
      <w:r>
        <w:rPr>
          <w:rFonts w:hint="eastAsia" w:ascii="宋体" w:hAnsi="宋体" w:cs="宋体"/>
          <w:bCs/>
          <w:sz w:val="24"/>
          <w:lang w:eastAsia="zh-CN"/>
        </w:rPr>
        <w:t xml:space="preserve">买方</w:t>
      </w:r>
      <w:r>
        <w:rPr>
          <w:rFonts w:hint="eastAsia" w:ascii="宋体" w:hAnsi="宋体" w:cs="宋体"/>
          <w:bCs/>
          <w:sz w:val="24"/>
        </w:rPr>
        <w:t xml:space="preserve">有权要求</w:t>
      </w:r>
      <w:r>
        <w:rPr>
          <w:rFonts w:hint="eastAsia" w:ascii="宋体" w:hAnsi="宋体" w:cs="宋体"/>
          <w:bCs/>
          <w:sz w:val="24"/>
          <w:lang w:eastAsia="zh-CN"/>
        </w:rPr>
        <w:t xml:space="preserve">卖方</w:t>
      </w:r>
      <w:r>
        <w:rPr>
          <w:rFonts w:hint="eastAsia" w:ascii="宋体" w:hAnsi="宋体" w:cs="宋体"/>
          <w:bCs/>
          <w:sz w:val="24"/>
        </w:rPr>
        <w:t xml:space="preserve">支付合同总价</w:t>
      </w:r>
      <w:r>
        <w:rPr>
          <w:rFonts w:hint="eastAsia" w:ascii="宋体" w:hAnsi="宋体" w:cs="宋体"/>
          <w:bCs/>
          <w:sz w:val="24"/>
          <w:lang w:val="en-US" w:eastAsia="zh-CN"/>
        </w:rPr>
        <w:t xml:space="preserve">5</w:t>
      </w:r>
      <w:r>
        <w:rPr>
          <w:rFonts w:hint="eastAsia" w:ascii="宋体" w:hAnsi="宋体" w:cs="宋体"/>
          <w:bCs/>
          <w:sz w:val="24"/>
        </w:rPr>
        <w:t xml:space="preserve">％的违约金。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lang w:eastAsia="zh-CN"/>
        </w:rPr>
        <w:t xml:space="preserve">卖方</w:t>
      </w:r>
      <w:r>
        <w:rPr>
          <w:rFonts w:hint="eastAsia" w:ascii="宋体" w:hAnsi="宋体" w:cs="宋体"/>
          <w:bCs/>
          <w:sz w:val="24"/>
        </w:rPr>
        <w:t xml:space="preserve">逾期交付货物的，每逾期1天，</w:t>
      </w:r>
      <w:r>
        <w:rPr>
          <w:rFonts w:hint="eastAsia" w:ascii="宋体" w:hAnsi="宋体" w:cs="宋体"/>
          <w:bCs/>
          <w:sz w:val="24"/>
          <w:lang w:eastAsia="zh-CN"/>
        </w:rPr>
        <w:t xml:space="preserve">卖方</w:t>
      </w:r>
      <w:r>
        <w:rPr>
          <w:rFonts w:hint="eastAsia" w:ascii="宋体" w:hAnsi="宋体" w:cs="宋体"/>
          <w:bCs/>
          <w:sz w:val="24"/>
        </w:rPr>
        <w:t xml:space="preserve">向</w:t>
      </w:r>
      <w:r>
        <w:rPr>
          <w:rFonts w:hint="eastAsia" w:ascii="宋体" w:hAnsi="宋体" w:cs="宋体"/>
          <w:bCs/>
          <w:sz w:val="24"/>
          <w:lang w:eastAsia="zh-CN"/>
        </w:rPr>
        <w:t xml:space="preserve">买方</w:t>
      </w:r>
      <w:r>
        <w:rPr>
          <w:rFonts w:hint="eastAsia" w:ascii="宋体" w:hAnsi="宋体" w:cs="宋体"/>
          <w:bCs/>
          <w:sz w:val="24"/>
        </w:rPr>
        <w:t xml:space="preserve">偿付逾期交货部分货款总额的5‰的滞纳金。如</w:t>
      </w:r>
      <w:r>
        <w:rPr>
          <w:rFonts w:hint="eastAsia" w:ascii="宋体" w:hAnsi="宋体" w:cs="宋体"/>
          <w:bCs/>
          <w:sz w:val="24"/>
          <w:lang w:eastAsia="zh-CN"/>
        </w:rPr>
        <w:t xml:space="preserve">卖方</w:t>
      </w:r>
      <w:r>
        <w:rPr>
          <w:rFonts w:hint="eastAsia" w:ascii="宋体" w:hAnsi="宋体" w:cs="宋体"/>
          <w:bCs/>
          <w:sz w:val="24"/>
        </w:rPr>
        <w:t xml:space="preserve">逾期交货达10天，</w:t>
      </w:r>
      <w:r>
        <w:rPr>
          <w:rFonts w:hint="eastAsia" w:ascii="宋体" w:hAnsi="宋体" w:cs="宋体"/>
          <w:bCs/>
          <w:sz w:val="24"/>
          <w:lang w:eastAsia="zh-CN"/>
        </w:rPr>
        <w:t xml:space="preserve">买方</w:t>
      </w:r>
      <w:r>
        <w:rPr>
          <w:rFonts w:hint="eastAsia" w:ascii="宋体" w:hAnsi="宋体" w:cs="宋体"/>
          <w:bCs/>
          <w:sz w:val="24"/>
        </w:rPr>
        <w:t xml:space="preserve">有权解除合同，解除合同的通知自到达</w:t>
      </w:r>
      <w:r>
        <w:rPr>
          <w:rFonts w:hint="eastAsia" w:ascii="宋体" w:hAnsi="宋体" w:cs="宋体"/>
          <w:bCs/>
          <w:sz w:val="24"/>
          <w:lang w:eastAsia="zh-CN"/>
        </w:rPr>
        <w:t xml:space="preserve">卖方</w:t>
      </w:r>
      <w:r>
        <w:rPr>
          <w:rFonts w:hint="eastAsia" w:ascii="宋体" w:hAnsi="宋体" w:cs="宋体"/>
          <w:bCs/>
          <w:sz w:val="24"/>
        </w:rPr>
        <w:t xml:space="preserve">时生效。</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lang w:eastAsia="zh-CN"/>
        </w:rPr>
        <w:t xml:space="preserve">卖方</w:t>
      </w:r>
      <w:r>
        <w:rPr>
          <w:rFonts w:hint="eastAsia" w:ascii="宋体" w:hAnsi="宋体" w:cs="宋体"/>
          <w:bCs/>
          <w:sz w:val="24"/>
        </w:rPr>
        <w:t xml:space="preserve">所交付的货物品种、型号、规格不符合合同规定的，</w:t>
      </w:r>
      <w:r>
        <w:rPr>
          <w:rFonts w:hint="eastAsia" w:ascii="宋体" w:hAnsi="宋体" w:cs="宋体"/>
          <w:bCs/>
          <w:sz w:val="24"/>
          <w:lang w:eastAsia="zh-CN"/>
        </w:rPr>
        <w:t xml:space="preserve">买方</w:t>
      </w:r>
      <w:r>
        <w:rPr>
          <w:rFonts w:hint="eastAsia" w:ascii="宋体" w:hAnsi="宋体" w:cs="宋体"/>
          <w:bCs/>
          <w:sz w:val="24"/>
        </w:rPr>
        <w:t xml:space="preserve">有权拒收。</w:t>
      </w:r>
      <w:r>
        <w:rPr>
          <w:rFonts w:hint="eastAsia" w:ascii="宋体" w:hAnsi="宋体" w:cs="宋体"/>
          <w:bCs/>
          <w:sz w:val="24"/>
          <w:lang w:eastAsia="zh-CN"/>
        </w:rPr>
        <w:t xml:space="preserve">买方</w:t>
      </w:r>
      <w:r>
        <w:rPr>
          <w:rFonts w:hint="eastAsia" w:ascii="宋体" w:hAnsi="宋体" w:cs="宋体"/>
          <w:bCs/>
          <w:sz w:val="24"/>
        </w:rPr>
        <w:t xml:space="preserve">拒收的，</w:t>
      </w:r>
      <w:r>
        <w:rPr>
          <w:rFonts w:hint="eastAsia" w:ascii="宋体" w:hAnsi="宋体" w:cs="宋体"/>
          <w:bCs/>
          <w:sz w:val="24"/>
          <w:lang w:eastAsia="zh-CN"/>
        </w:rPr>
        <w:t xml:space="preserve">卖方</w:t>
      </w:r>
      <w:r>
        <w:rPr>
          <w:rFonts w:hint="eastAsia" w:ascii="宋体" w:hAnsi="宋体" w:cs="宋体"/>
          <w:bCs/>
          <w:sz w:val="24"/>
        </w:rPr>
        <w:t xml:space="preserve">应向</w:t>
      </w:r>
      <w:r>
        <w:rPr>
          <w:rFonts w:hint="eastAsia" w:ascii="宋体" w:hAnsi="宋体" w:cs="宋体"/>
          <w:bCs/>
          <w:sz w:val="24"/>
          <w:lang w:eastAsia="zh-CN"/>
        </w:rPr>
        <w:t xml:space="preserve">买方</w:t>
      </w:r>
      <w:r>
        <w:rPr>
          <w:rFonts w:hint="eastAsia" w:ascii="宋体" w:hAnsi="宋体" w:cs="宋体"/>
          <w:bCs/>
          <w:sz w:val="24"/>
        </w:rPr>
        <w:t xml:space="preserve">支付货款总额5%的违约金。</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6、在</w:t>
      </w:r>
      <w:r>
        <w:rPr>
          <w:rFonts w:hint="eastAsia" w:ascii="宋体" w:hAnsi="宋体" w:cs="宋体"/>
          <w:bCs/>
          <w:sz w:val="24"/>
          <w:lang w:eastAsia="zh-CN"/>
        </w:rPr>
        <w:t xml:space="preserve">卖方</w:t>
      </w:r>
      <w:r>
        <w:rPr>
          <w:rFonts w:hint="eastAsia" w:ascii="宋体" w:hAnsi="宋体" w:cs="宋体"/>
          <w:bCs/>
          <w:sz w:val="24"/>
        </w:rPr>
        <w:t xml:space="preserve">承诺的或国家规定的质量保证期内（取两者中最长的期限），如经</w:t>
      </w:r>
      <w:r>
        <w:rPr>
          <w:rFonts w:hint="eastAsia" w:ascii="宋体" w:hAnsi="宋体" w:cs="宋体"/>
          <w:bCs/>
          <w:sz w:val="24"/>
          <w:lang w:eastAsia="zh-CN"/>
        </w:rPr>
        <w:t xml:space="preserve">卖方</w:t>
      </w:r>
      <w:r>
        <w:rPr>
          <w:rFonts w:hint="eastAsia" w:ascii="宋体" w:hAnsi="宋体" w:cs="宋体"/>
          <w:bCs/>
          <w:sz w:val="24"/>
        </w:rPr>
        <w:t xml:space="preserve">两次维修或更换，货物仍不能达到合同约定的质量标准，</w:t>
      </w:r>
      <w:r>
        <w:rPr>
          <w:rFonts w:hint="eastAsia" w:ascii="宋体" w:hAnsi="宋体" w:cs="宋体"/>
          <w:bCs/>
          <w:sz w:val="24"/>
          <w:lang w:eastAsia="zh-CN"/>
        </w:rPr>
        <w:t xml:space="preserve">买方</w:t>
      </w:r>
      <w:r>
        <w:rPr>
          <w:rFonts w:hint="eastAsia" w:ascii="宋体" w:hAnsi="宋体" w:cs="宋体"/>
          <w:bCs/>
          <w:sz w:val="24"/>
        </w:rPr>
        <w:t xml:space="preserve">有权退货，</w:t>
      </w:r>
      <w:r>
        <w:rPr>
          <w:rFonts w:hint="eastAsia" w:ascii="宋体" w:hAnsi="宋体" w:cs="宋体"/>
          <w:bCs/>
          <w:sz w:val="24"/>
          <w:lang w:eastAsia="zh-CN"/>
        </w:rPr>
        <w:t xml:space="preserve">卖方</w:t>
      </w:r>
      <w:r>
        <w:rPr>
          <w:rFonts w:hint="eastAsia" w:ascii="宋体" w:hAnsi="宋体" w:cs="宋体"/>
          <w:bCs/>
          <w:sz w:val="24"/>
        </w:rPr>
        <w:t xml:space="preserve">应退回全部货款，并按第3款处理，同时，</w:t>
      </w:r>
      <w:r>
        <w:rPr>
          <w:rFonts w:hint="eastAsia" w:ascii="宋体" w:hAnsi="宋体" w:cs="宋体"/>
          <w:bCs/>
          <w:sz w:val="24"/>
          <w:lang w:eastAsia="zh-CN"/>
        </w:rPr>
        <w:t xml:space="preserve">卖方</w:t>
      </w:r>
      <w:r>
        <w:rPr>
          <w:rFonts w:hint="eastAsia" w:ascii="宋体" w:hAnsi="宋体" w:cs="宋体"/>
          <w:bCs/>
          <w:sz w:val="24"/>
        </w:rPr>
        <w:t xml:space="preserve">还须赔偿</w:t>
      </w:r>
      <w:r>
        <w:rPr>
          <w:rFonts w:hint="eastAsia" w:ascii="宋体" w:hAnsi="宋体" w:cs="宋体"/>
          <w:bCs/>
          <w:sz w:val="24"/>
          <w:lang w:eastAsia="zh-CN"/>
        </w:rPr>
        <w:t xml:space="preserve">买方</w:t>
      </w:r>
      <w:r>
        <w:rPr>
          <w:rFonts w:hint="eastAsia" w:ascii="宋体" w:hAnsi="宋体" w:cs="宋体"/>
          <w:bCs/>
          <w:sz w:val="24"/>
        </w:rPr>
        <w:t xml:space="preserve">因此遭受的损失。</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lang w:eastAsia="zh-CN"/>
        </w:rPr>
        <w:t xml:space="preserve">卖方</w:t>
      </w:r>
      <w:r>
        <w:rPr>
          <w:rFonts w:hint="eastAsia" w:ascii="宋体" w:hAnsi="宋体" w:cs="宋体"/>
          <w:bCs/>
          <w:sz w:val="24"/>
        </w:rPr>
        <w:t xml:space="preserve">未按本合同的规定和服务承诺提供货物的，应按合同总价款的3%向</w:t>
      </w:r>
      <w:r>
        <w:rPr>
          <w:rFonts w:hint="eastAsia" w:ascii="宋体" w:hAnsi="宋体" w:cs="宋体"/>
          <w:bCs/>
          <w:sz w:val="24"/>
          <w:lang w:eastAsia="zh-CN"/>
        </w:rPr>
        <w:t xml:space="preserve">买方</w:t>
      </w:r>
      <w:r>
        <w:rPr>
          <w:rFonts w:hint="eastAsia" w:ascii="宋体" w:hAnsi="宋体" w:cs="宋体"/>
          <w:bCs/>
          <w:sz w:val="24"/>
        </w:rPr>
        <w:t xml:space="preserve">承担违约责任。</w:t>
      </w:r>
      <w:r>
        <w:rPr>
          <w:rFonts w:hint="eastAsia" w:ascii="宋体" w:hAnsi="宋体" w:cs="宋体"/>
          <w:bCs/>
          <w:sz w:val="24"/>
        </w:rPr>
      </w:r>
      <w:r/>
    </w:p>
    <w:p>
      <w:pPr>
        <w:pStyle w:val="663"/>
        <w:ind w:firstLine="482"/>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val="en-US" w:eastAsia="zh-CN"/>
        </w:rPr>
        <w:t xml:space="preserve">五</w:t>
      </w:r>
      <w:r>
        <w:rPr>
          <w:rFonts w:hint="eastAsia" w:ascii="宋体" w:hAnsi="宋体" w:cs="宋体"/>
          <w:b/>
          <w:bCs/>
          <w:sz w:val="24"/>
        </w:rPr>
        <w:t xml:space="preserve">、争议的解决及合同纠纷处理</w:t>
      </w:r>
      <w:r>
        <w:rPr>
          <w:rFonts w:hint="eastAsia" w:ascii="宋体" w:hAnsi="宋体" w:cs="宋体"/>
          <w:b/>
          <w:bCs/>
          <w:sz w:val="24"/>
        </w:rPr>
      </w:r>
      <w:r/>
    </w:p>
    <w:p>
      <w:pPr>
        <w:pStyle w:val="663"/>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1、争议的解决：因货物的质量问题发生争议的，应当邀请国家认可的质量检测机构对货物质量进行鉴定。货物符合标准的，鉴定费由</w:t>
      </w:r>
      <w:r>
        <w:rPr>
          <w:rFonts w:hint="eastAsia" w:ascii="宋体" w:hAnsi="宋体" w:cs="宋体"/>
          <w:bCs/>
          <w:sz w:val="24"/>
          <w:lang w:eastAsia="zh-CN"/>
        </w:rPr>
        <w:t xml:space="preserve">买方</w:t>
      </w:r>
      <w:r>
        <w:rPr>
          <w:rFonts w:hint="eastAsia" w:ascii="宋体" w:hAnsi="宋体" w:cs="宋体"/>
          <w:bCs/>
          <w:sz w:val="24"/>
        </w:rPr>
        <w:t xml:space="preserve">承担；货物不符合质量标准的，鉴定费由</w:t>
      </w:r>
      <w:r>
        <w:rPr>
          <w:rFonts w:hint="eastAsia" w:ascii="宋体" w:hAnsi="宋体" w:cs="宋体"/>
          <w:bCs/>
          <w:sz w:val="24"/>
          <w:lang w:eastAsia="zh-CN"/>
        </w:rPr>
        <w:t xml:space="preserve">卖方</w:t>
      </w:r>
      <w:r>
        <w:rPr>
          <w:rFonts w:hint="eastAsia" w:ascii="宋体" w:hAnsi="宋体" w:cs="宋体"/>
          <w:bCs/>
          <w:sz w:val="24"/>
        </w:rPr>
        <w:t xml:space="preserve">承担、并更换有问题商品或部件。</w:t>
      </w:r>
      <w:r>
        <w:rPr>
          <w:rFonts w:hint="eastAsia" w:ascii="宋体" w:hAnsi="宋体" w:cs="宋体"/>
          <w:bCs/>
          <w:sz w:val="24"/>
        </w:rPr>
      </w:r>
      <w:r/>
    </w:p>
    <w:p>
      <w:pPr>
        <w:pStyle w:val="663"/>
        <w:ind w:firstLine="480"/>
        <w:jc w:val="left"/>
        <w:keepLines w:val="0"/>
        <w:keepNext w:val="0"/>
        <w:pageBreakBefore w:val="0"/>
        <w:spacing w:line="400" w:lineRule="exact"/>
        <w:widowControl/>
        <w:rPr>
          <w:rFonts w:hint="eastAsia"/>
        </w:rPr>
      </w:pPr>
      <w:r>
        <w:rPr>
          <w:rFonts w:hint="eastAsia" w:ascii="宋体" w:hAnsi="宋体" w:cs="宋体"/>
          <w:bCs/>
          <w:sz w:val="24"/>
        </w:rPr>
        <w:t xml:space="preserve">2、合同纠纷处理：本合同执行过程中发生纠纷，由</w:t>
      </w:r>
      <w:r>
        <w:rPr>
          <w:rFonts w:hint="eastAsia" w:ascii="宋体" w:hAnsi="宋体" w:cs="宋体"/>
          <w:bCs/>
          <w:sz w:val="24"/>
          <w:lang w:eastAsia="zh-CN"/>
        </w:rPr>
        <w:t xml:space="preserve">买方</w:t>
      </w:r>
      <w:r>
        <w:rPr>
          <w:rFonts w:hint="eastAsia" w:ascii="宋体" w:hAnsi="宋体" w:cs="宋体"/>
          <w:bCs/>
          <w:sz w:val="24"/>
        </w:rPr>
        <w:t xml:space="preserve">和</w:t>
      </w:r>
      <w:r>
        <w:rPr>
          <w:rFonts w:hint="eastAsia" w:ascii="宋体" w:hAnsi="宋体" w:cs="宋体"/>
          <w:bCs/>
          <w:sz w:val="24"/>
          <w:lang w:eastAsia="zh-CN"/>
        </w:rPr>
        <w:t xml:space="preserve">卖方</w:t>
      </w:r>
      <w:r>
        <w:rPr>
          <w:rFonts w:hint="eastAsia" w:ascii="宋体" w:hAnsi="宋体" w:cs="宋体"/>
          <w:bCs/>
          <w:sz w:val="24"/>
        </w:rPr>
        <w:t xml:space="preserve">协商处理，协商不成，可向</w:t>
      </w:r>
      <w:r>
        <w:rPr>
          <w:rFonts w:hint="eastAsia" w:ascii="宋体" w:hAnsi="宋体" w:cs="宋体"/>
          <w:bCs/>
          <w:sz w:val="24"/>
          <w:lang w:eastAsia="zh-CN"/>
        </w:rPr>
        <w:t xml:space="preserve">买方</w:t>
      </w:r>
      <w:r>
        <w:rPr>
          <w:rFonts w:hint="eastAsia" w:ascii="宋体" w:hAnsi="宋体" w:cs="宋体"/>
          <w:bCs/>
          <w:sz w:val="24"/>
        </w:rPr>
        <w:t xml:space="preserve">所在地有管辖权的人民法院提起诉讼；</w:t>
      </w:r>
      <w:r>
        <w:rPr>
          <w:rFonts w:hint="eastAsia"/>
        </w:rPr>
      </w:r>
      <w:r/>
    </w:p>
    <w:p>
      <w:pPr>
        <w:pStyle w:val="663"/>
        <w:ind w:firstLine="482"/>
        <w:jc w:val="left"/>
        <w:keepLines w:val="0"/>
        <w:keepNext w:val="0"/>
        <w:pageBreakBefore w:val="0"/>
        <w:spacing w:line="400" w:lineRule="exact"/>
        <w:widowControl/>
        <w:rPr>
          <w:rFonts w:hint="eastAsia" w:ascii="宋体" w:hAnsi="宋体" w:cs="宋体"/>
          <w:bCs/>
          <w:sz w:val="24"/>
        </w:rPr>
      </w:pPr>
      <w:r>
        <w:rPr>
          <w:rFonts w:hint="eastAsia" w:ascii="宋体" w:hAnsi="宋体" w:cs="宋体"/>
          <w:b/>
          <w:sz w:val="24"/>
        </w:rPr>
        <w:t xml:space="preserve">十</w:t>
      </w:r>
      <w:r>
        <w:rPr>
          <w:rFonts w:hint="eastAsia" w:ascii="宋体" w:hAnsi="宋体" w:cs="宋体"/>
          <w:b/>
          <w:sz w:val="24"/>
          <w:lang w:val="en-US" w:eastAsia="zh-CN"/>
        </w:rPr>
        <w:t xml:space="preserve">六</w:t>
      </w:r>
      <w:r>
        <w:rPr>
          <w:rFonts w:hint="eastAsia" w:ascii="宋体" w:hAnsi="宋体" w:cs="宋体"/>
          <w:b/>
          <w:sz w:val="24"/>
        </w:rPr>
        <w:t xml:space="preserve">、合同生效：</w:t>
      </w:r>
      <w:r>
        <w:rPr>
          <w:rFonts w:hint="eastAsia" w:ascii="宋体" w:hAnsi="宋体" w:cs="宋体"/>
          <w:bCs/>
          <w:sz w:val="24"/>
        </w:rPr>
        <w:t xml:space="preserve">本合同由甲乙双方签字盖章后生效。</w:t>
      </w:r>
      <w:r>
        <w:rPr>
          <w:rFonts w:hint="eastAsia" w:ascii="宋体" w:hAnsi="宋体" w:cs="宋体"/>
          <w:bCs/>
          <w:sz w:val="24"/>
        </w:rPr>
      </w:r>
      <w:r/>
    </w:p>
    <w:p>
      <w:pPr>
        <w:pStyle w:val="663"/>
        <w:ind w:firstLine="480"/>
        <w:jc w:val="left"/>
        <w:keepLines w:val="0"/>
        <w:keepNext w:val="0"/>
        <w:spacing w:line="540" w:lineRule="exact"/>
        <w:widowControl w:val="off"/>
        <w:rPr>
          <w:rFonts w:hint="eastAsia" w:ascii="宋体" w:hAnsi="宋体" w:eastAsia="宋体" w:cs="宋体"/>
          <w:sz w:val="24"/>
        </w:rPr>
        <w:outlineLvl w:val="9"/>
      </w:pP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采 购 人：            </w:t>
      </w:r>
      <w:r>
        <w:rPr>
          <w:rFonts w:hint="eastAsia" w:ascii="宋体" w:hAnsi="宋体" w:eastAsia="宋体" w:cs="宋体"/>
          <w:sz w:val="24"/>
          <w:lang w:val="en-US" w:eastAsia="zh-CN"/>
        </w:rPr>
        <w:t xml:space="preserve">  </w:t>
      </w:r>
      <w:r>
        <w:rPr>
          <w:rFonts w:hint="eastAsia" w:ascii="宋体" w:hAnsi="宋体" w:eastAsia="宋体" w:cs="宋体"/>
          <w:sz w:val="24"/>
        </w:rPr>
        <w:t xml:space="preserve">           供 应 商：</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单位盖章：          </w:t>
      </w:r>
      <w:r>
        <w:rPr>
          <w:rFonts w:hint="eastAsia" w:ascii="宋体" w:hAnsi="宋体" w:eastAsia="宋体" w:cs="宋体"/>
          <w:sz w:val="24"/>
          <w:lang w:val="en-US" w:eastAsia="zh-CN"/>
        </w:rPr>
        <w:t xml:space="preserve">  </w:t>
      </w:r>
      <w:r>
        <w:rPr>
          <w:rFonts w:hint="eastAsia" w:ascii="宋体" w:hAnsi="宋体" w:eastAsia="宋体" w:cs="宋体"/>
          <w:sz w:val="24"/>
        </w:rPr>
        <w:t xml:space="preserve">             单位盖章：</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代表签字：           </w:t>
      </w:r>
      <w:r>
        <w:rPr>
          <w:rFonts w:hint="eastAsia" w:ascii="宋体" w:hAnsi="宋体" w:eastAsia="宋体" w:cs="宋体"/>
          <w:sz w:val="24"/>
          <w:lang w:val="en-US" w:eastAsia="zh-CN"/>
        </w:rPr>
        <w:t xml:space="preserve">  </w:t>
      </w:r>
      <w:r>
        <w:rPr>
          <w:rFonts w:hint="eastAsia" w:ascii="宋体" w:hAnsi="宋体" w:eastAsia="宋体" w:cs="宋体"/>
          <w:sz w:val="24"/>
        </w:rPr>
        <w:t xml:space="preserve">            代表签字：</w:t>
      </w:r>
      <w:r>
        <w:rPr>
          <w:rFonts w:hint="eastAsia" w:ascii="宋体" w:hAnsi="宋体" w:eastAsia="宋体" w:cs="宋体"/>
          <w:sz w:val="24"/>
        </w:rPr>
      </w:r>
      <w:r/>
    </w:p>
    <w:p>
      <w:pPr>
        <w:pStyle w:val="663"/>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签订日期：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             签订日期：</w:t>
      </w:r>
      <w:r>
        <w:rPr>
          <w:rFonts w:hint="eastAsia" w:ascii="宋体" w:hAnsi="宋体" w:eastAsia="宋体" w:cs="宋体"/>
          <w:sz w:val="24"/>
        </w:rPr>
      </w:r>
      <w:r/>
    </w:p>
    <w:p>
      <w:pPr>
        <w:pStyle w:val="663"/>
        <w:numPr>
          <w:ilvl w:val="0"/>
          <w:numId w:val="0"/>
        </w:numPr>
        <w:jc w:val="center"/>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663"/>
        <w:numPr>
          <w:ilvl w:val="0"/>
          <w:numId w:val="0"/>
        </w:numPr>
        <w:jc w:val="both"/>
        <w:keepLines w:val="0"/>
        <w:keepNext w:val="0"/>
        <w:pageBreakBefore w:val="0"/>
        <w:spacing w:line="500" w:lineRule="exact"/>
        <w:widowControl w:val="off"/>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r>
      <w:r/>
    </w:p>
    <w:p>
      <w:pPr>
        <w:pStyle w:val="663"/>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671"/>
        <w:ind w:left="0" w:firstLine="0"/>
        <w:rPr>
          <w:rFonts w:hint="eastAsia" w:ascii="宋体" w:hAnsi="宋体" w:eastAsia="宋体" w:cs="宋体"/>
          <w:lang w:eastAsia="zh-CN"/>
        </w:rPr>
      </w:pPr>
      <w:r>
        <w:rPr>
          <w:rFonts w:hint="eastAsia" w:ascii="宋体" w:hAnsi="宋体" w:eastAsia="宋体" w:cs="宋体"/>
          <w:lang w:eastAsia="zh-CN"/>
        </w:rPr>
      </w:r>
      <w:r/>
    </w:p>
    <w:p>
      <w:pPr>
        <w:pStyle w:val="680"/>
        <w:ind w:right="0"/>
        <w:jc w:val="center"/>
        <w:keepLines w:val="0"/>
        <w:keepNext w:val="0"/>
        <w:pageBreakBefore/>
        <w:spacing w:line="500" w:lineRule="exact"/>
        <w:widowControl w:val="off"/>
        <w:rPr>
          <w:rFonts w:hint="eastAsia" w:ascii="宋体" w:hAnsi="宋体" w:eastAsia="宋体" w:cs="宋体"/>
          <w:b/>
          <w:bCs/>
          <w:sz w:val="30"/>
          <w:szCs w:val="30"/>
          <w:highlight w:val="none"/>
          <w:lang w:val="zh-CN"/>
        </w:rPr>
        <w:outlineLvl w:val="0"/>
      </w:pPr>
      <w:r/>
      <w:bookmarkStart w:id="33" w:name="_Toc23561"/>
      <w:r>
        <w:rPr>
          <w:rFonts w:hint="eastAsia" w:ascii="宋体" w:hAnsi="宋体" w:eastAsia="宋体" w:cs="宋体"/>
          <w:b/>
          <w:bCs/>
          <w:sz w:val="32"/>
          <w:szCs w:val="32"/>
          <w:highlight w:val="none"/>
        </w:rPr>
        <w:t xml:space="preserve">第五章  项目采购需求及总体要求</w:t>
      </w:r>
      <w:bookmarkEnd w:id="33"/>
      <w:r>
        <w:rPr>
          <w:rFonts w:hint="eastAsia" w:ascii="宋体" w:hAnsi="宋体" w:eastAsia="宋体" w:cs="宋体"/>
          <w:b/>
          <w:bCs/>
          <w:sz w:val="30"/>
          <w:szCs w:val="30"/>
          <w:highlight w:val="none"/>
          <w:lang w:val="zh-CN"/>
        </w:rPr>
      </w:r>
      <w:r/>
    </w:p>
    <w:p>
      <w:pPr>
        <w:pStyle w:val="663"/>
        <w:numPr>
          <w:ilvl w:val="0"/>
          <w:numId w:val="2"/>
        </w:numPr>
        <w:jc w:val="left"/>
        <w:keepLines w:val="0"/>
        <w:keepNext w:val="0"/>
        <w:pageBreakBefore w:val="0"/>
        <w:spacing w:line="40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主设备技术参数</w:t>
      </w:r>
      <w:r>
        <w:rPr>
          <w:rFonts w:ascii="宋体" w:hAnsi="宋体" w:eastAsia="宋体" w:cs="宋体"/>
          <w:b/>
          <w:bCs/>
          <w:sz w:val="24"/>
          <w:szCs w:val="24"/>
          <w:lang w:val="en-US" w:eastAsia="zh-CN"/>
        </w:rPr>
      </w:r>
      <w:r/>
    </w:p>
    <w:p>
      <w:pPr>
        <w:pStyle w:val="663"/>
        <w:keepLines w:val="0"/>
        <w:keepNext w:val="0"/>
        <w:pageBreakBefore w:val="0"/>
        <w:spacing w:before="157" w:after="157" w:line="360" w:lineRule="exact"/>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采购包1</w:t>
      </w:r>
      <w:r>
        <w:rPr>
          <w:rFonts w:ascii="宋体" w:hAnsi="宋体" w:eastAsia="宋体" w:cs="宋体"/>
          <w:b/>
          <w:bCs/>
          <w:sz w:val="28"/>
          <w:szCs w:val="28"/>
          <w:lang w:val="en-US" w:eastAsia="zh-CN"/>
        </w:rPr>
      </w:r>
      <w:r/>
    </w:p>
    <w:tbl>
      <w:tblPr>
        <w:tblStyle w:val="694"/>
        <w:tblW w:w="99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87"/>
        <w:gridCol w:w="5826"/>
        <w:gridCol w:w="749"/>
        <w:gridCol w:w="813"/>
        <w:gridCol w:w="720"/>
      </w:tblGrid>
      <w:tr>
        <w:trPr>
          <w:trHeight w:val="587"/>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器材名称</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主要技术要求</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消防头盔（半盔）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1.符合XF44-2015《消防头盔》标准要求。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2.为半盔式头盔，由帽壳、佩戴装置及附件（面罩、披肩）等构成，浅色透明面罩，粘贴最新式帽徽，颜色：黄色、红色。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▲3.冲击吸收性能：高温预处理，最大冲击力≤3100N；辐射热预处理，最大冲击力≤3100N；低温预处理，最大冲击力≤3300N；浸水预处理，最大冲击力≤3000N。</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4.质量≤1.1kg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1.符合XF10-2014《消防员灭火防护服》标准要求。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▲2.整体服装采用三层式结构</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3.服装款式设计要求：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（1）上下分体式结构，整体协调，穿着舒适。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（2）肩、肘、膝部应采用耐磨层加厚处理，耐磨层应柔软且易于清洗。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（3）左臂上端外侧增加10cm*5cm魔术贴并覆盖布。上衣门襟魔术贴为贯通式。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（4）上衣左胸设置电台口袋，且不应与空气呼吸器背带相干涉；设置内插袋，下摆设置外贴袋；舒适层下摆增加5cm高度的对位芳纶基布涂层阻燃氯丁橡胶布制作的防水层。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（5）上衣和裤子之间的重叠部分应不小于200mm。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（6）上衣的衣领高度应不小于100mm，并有搭接或扣牢配件。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（7）裤子裆部采用一体式设计，配 H 型背带，脚口处采用圆弧形设计，脚口使用对位芳纶基布涂层阻燃氯丁橡胶布做防水处理。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（8）所有外口袋均设置漏水孔。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（9）防护服标识均采用最新标识。                                                                                             </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消防手套</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1.符合XF7-2004《消防手套》标准要求。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▲2.手套整体热防护性能：TPP≥29.5 cal/cm2。</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消防员灭火防护靴</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1.符合6-2004《消防员灭火防护靴》标准要求。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靴帮由外到内分为帮面、防切割层和隔热舒适层三层结构，靴底由上到下分为隔热舒适层、防穿刺层和靴大底三层结构，靴头部位设有保护包头，保护包头采用轻质航空铝材料制成，轻便、防砸，能够对消防员足前部进行有效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3.质量≤1.9kg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头灯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1.符合GB30734-2014《消防员照明灯具》标准要求。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▲2.外壳防护等级≥IP66，潜水深度≥5米，可持续时间≥1小时。</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3.防爆标志≥EX ib IIC T4。</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应急逃生自救安全绳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3"/>
              </w:numPr>
              <w:ind w:left="0" w:firstLine="0"/>
              <w:jc w:val="both"/>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质量≤1800g。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3"/>
              </w:numPr>
              <w:ind w:left="0" w:firstLine="0"/>
              <w:jc w:val="both"/>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每根长度≥16米</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3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消防腰斧</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★符合GA630-2006《消防腰斧》标准要求。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（提供合格的型式检验报告）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1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消防安全腰带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1.符合GA494-2004《消防用防坠落装备》标准要求。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2.由织带、环扣、2个D型环、双排插杆外带扣、带双排插孔的带尾等组成。</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消防员灭火防护头套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★符合GA869-2010《消防员灭火防护头套》标准要求。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消防员抢险救援头盔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4"/>
              </w:numPr>
              <w:jc w:val="left"/>
              <w:keepLines w:val="0"/>
              <w:keepNext w:val="0"/>
              <w:pageBreakBefore w:val="0"/>
              <w:spacing w:line="360" w:lineRule="exact"/>
              <w:widowControl/>
              <w:tabs>
                <w:tab w:val="left" w:pos="312" w:leader="none"/>
              </w:tabs>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▲2.防护性能，冲击吸收性能：高温预处理，最大冲击力≤2330N；低温预处理，最大冲击力≤2480N；浸水预处理，最大冲击力≤2700N。</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3.质量（不含附件）≤0.8kg</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消防员抢险救援防护服（夏季）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13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消防员抢险救援防护服（冬季）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消防员抢险救援靴</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★1.符合XF633-2006《消防员抢险救援防护服装》标准要求。</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2.质量≤1.3kg。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消防护目镜</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★符合XF1273-2015《消防员护目镜》标准要求。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消防员护膝护肘</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1.耐摩擦性能≥2000次。</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2.抗冲击性能：≥护肘1219N，≥护膝1106N。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3.护膝耐穿刺性能≥340N；护肘耐穿刺性能≥320N。</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消防过滤式自救呼吸器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★符合GB21976.7-2012《过滤式消防自救呼吸器》标准要求。</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消防员隔热防护服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1.符合XF634-2015《消防员隔热防护服》标准。</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2.火焰和辐射热防护性能（TPP）≥34.5cal/c㎡。</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消防员避火防护服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符合XF634-2015《消防员隔热防护服》标准。</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化学防护手套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1.化学防护性能：30%氢氧化钠、乙腈、甲醇等耐压穿透性＞35kPa；96%硫酸，30%氢氧化钠等化学品渗透时间＞480min。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2.耐热老化性能：经过125℃预处理24h后，表面不粘、不脆、不龟裂。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3.耐寒性能：经过-25℃预处理 5min，折叠 180°后，无表面破坏性裂痕。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4.手套抗刺穿力≥45N。</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消防员降温背心</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1.利用水分蒸发吸热带走身体表面热量达到降温效果，无需冰袋，无需冰箱冷冻，无需电源。</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2.降温背心不含甲醛，不含可分解致癌芳香胺染料。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3.将马甲浸泡在清水中3-5分钟，拧干后擦掉内层多余水分即可穿用。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4.单次降温时间≥2小时，可重复使用。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5.质量≤0.7kg。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消防全身式安全吊带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★符合XF494-2023《消防用防坠落装备》标准。</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消防员防蜂服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★符合XF3008-2020《消防员防蜂服》标准。</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消防轻型安全绳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★符合国家XF494-2023《消防用防坠落装备》标准要求。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消防通用安全绳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★符合国家XF494-2023《消防用防坠落装备》标准要求。</w:t>
            </w:r>
            <w:r>
              <w:rPr>
                <w:rFonts w:hint="eastAsia" w:ascii="宋体" w:hAnsi="宋体" w:eastAsia="宋体" w:cs="宋体"/>
                <w:b/>
                <w:bCs/>
                <w:i w:val="0"/>
                <w:iCs w:val="0"/>
                <w:color w:val="000000"/>
                <w:sz w:val="22"/>
                <w:szCs w:val="22"/>
                <w:highlight w:val="none"/>
                <w:u w:val="none"/>
                <w:lang w:val="en-US" w:eastAsia="zh-CN" w:bidi="ar"/>
              </w:rPr>
              <w:t xml:space="preserve">（提供合格的型式试验报告）</w:t>
            </w:r>
            <w:r>
              <w:rPr>
                <w:rFonts w:hint="eastAsia" w:ascii="宋体" w:hAnsi="宋体" w:eastAsia="宋体" w:cs="宋体"/>
                <w:b/>
                <w:bCs/>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消防防坠落辅助部件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整套包含：全身安全带1件，O型钩4个，胸式上升器1个，手式上升器（左右手可选）1个，脚踏带1个，脚式上升器（左右脚可选）1个，手控下降器1个，8字环1个，双滑轮1个，单滑轮1个，手套1双，防坠器1个，缓冲包1个，环形扁带2个，10.5mm静力绳1根30米，护绳套1个，装备包1个，共21件。</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2.主要参数：</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（1）全身安全带：全身共有5 个加强D形承重挂点，承重≥22KN。设置可调节腰带，腿环，腰围≤115cm，腿围≤81cm，适应身高165-185cm，重量约1800g。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（2）O型钩：材质铝合金，二段自动式锁，开口尺寸20mm，拉力≥25kN，重量≤81g。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（3）胸式上升器：适用绳径8-13mm。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（4）手式上升器（左右手可选）：材质铝合金+橡胶，适用绳径8-13mm。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（5）脚踏带：材质尼龙织带+不锈钢，可调：80-115cm。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（6）脚式上升器（左右脚可选）：材质铝合金，适合绳索直径8-13mm，重量：≤148g，工作负荷：≥4KN。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（7）手控下降器：适合绳索直径9-12mm。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（8）8字环：材质铝合金，拉力≥35kN，破断强度≥45kN。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（9）单滑轮：材质铝合金，适合绳索直径≤13mm。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（10）双滑轮：材质铝合金，适合绳索直径8-13mm；拉力≥25KN。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（11）环形扁带：尼龙材质，长度60cm和120cm各1条；拉力≥23KN。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（12）10.5mm静力绳：绳长30米，安全绳最小破断强度≥25kN。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（13）护绳套：800D材质PVC夹网布制作，长度50cm，展开宽度14cm，保护绳索防止其磨损。</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（14）全身安全带、O型钩、胸式上升器、手式上升器、脚踏带、脚式上升器、手控下降器、8字环、单滑轮、双滑轮、防坠器、10.5mm静力绳、符合 XF494-2004/2023《消防员防坠落装备》标准。</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（15）缓冲包符合GB/T24538-2009《坠落防护 缓冲器》。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（16）环形扁带符合JB/T 8521.1-2007《编织吊索安全性第1部分：一般用途合成纤维扁平吊装带》，破断力不小于23.3kN。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（17）护绳套符合GB/T21196.2-2007《纺织品 马丁代尔法织物耐磨性的测定 第2部分：试样破损的测定》。</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手提式强光照明灯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1.符合GB30734-2014《消防员照明灯具》标准要求。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▲2.提供防爆合格证，防爆等级：≥EX db ia IIC T6 Gb。</w:t>
            </w:r>
            <w:r>
              <w:rPr>
                <w:rFonts w:hint="eastAsia" w:ascii="宋体" w:hAnsi="宋体" w:eastAsia="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折叠担架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1.结构组成：金属框架、高分子材料表面质材组成。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2.质量≤9.5 kg。</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3.承载≥120kg。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4.应有2个滚轮，2根保险带。</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多功能担架</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1.采用高质量尼龙板制成，可以弯曲变形，可水平或者垂直吊运。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2.展开尺寸≥250×80cm。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3.质量≤9kg。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4.最大承重≥120kg。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numPr>
                <w:ilvl w:val="0"/>
                <w:numId w:val="0"/>
              </w:numPr>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numPr>
                <w:ilvl w:val="0"/>
                <w:numId w:val="0"/>
              </w:numPr>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救生抛投器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both"/>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1.符合GB/T27906-2011《救生抛投器》标准要求。</w:t>
            </w:r>
            <w:r>
              <w:rPr>
                <w:rFonts w:hint="eastAsia" w:ascii="宋体" w:hAnsi="宋体" w:eastAsia="宋体" w:cs="宋体"/>
                <w:i w:val="0"/>
                <w:iCs w:val="0"/>
                <w:color w:val="000000"/>
                <w:sz w:val="22"/>
                <w:szCs w:val="22"/>
                <w:highlight w:val="none"/>
                <w:u w:val="none"/>
                <w:lang w:val="en-US" w:eastAsia="zh-CN" w:bidi="ar"/>
              </w:rPr>
            </w:r>
            <w:r/>
          </w:p>
          <w:p>
            <w:pPr>
              <w:pStyle w:val="663"/>
              <w:jc w:val="both"/>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2.抛射距离：水用≥120米，陆地≥180米。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激光测距仪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1.具备普通测距、水平距离、直线距离、垂直距离、两点测高、三点测高、空间任意两点跨距测量、面积体积测量、旗杆模式、温度检测、速度测量。</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2.测距显示：内置LCD显示+外置OLED触摸彩屏显示。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▲3.测量量程≥2000m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4.测量误差≤±0.2m（≤200m）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5.倾角范围≥-90°～90°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▲6.当前环境温度检测范围：-45℃~+130℃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▲7.具有北斗定位功能，能实时显示当前位置的经纬度数据。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8.放大倍率≥8倍</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9.具有震动提醒和数据存储功能。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10.内置≥800mA 充电系统量；测量次数≥10000次。</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测温仪</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▲1.测量范围：-50～1100℃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▲2.测量精度：±1.5%或±1.5℃</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3.测量物距比：12:1</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4.响应时间：≤500ms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5.具有高温/低温报警功能。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6.具有数据锁定和数据存储功能。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▲7.电池连续工作时间≥12h。</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漏电探测仪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1.手持式，探测仪长度不低于50cm，保证使用者的安全。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2.探测电压：120V/60Hz 或 220V/50Hz；7.2Kv/50Hz 或 15kV/50Hz。 </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3.自检功能≤3S。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4.灵敏度：具有高敏度、低敏度、前端（定位）等3档可调节。</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▲5.LED手电筒：内置≥3W 照明灯，水平亮度≥1m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6.警示功能：内置≥16颗红色LED警示灯，红灯闪烁具有警示和指挥功能。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7.电子口哨：具有尖锐的电子口哨声音和警示灯爆闪的功能。</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▲8.S0S功能：开启S0S模式时，探测仪白光灯闪烁、警示灯爆闪和蜂鸣器发出“三长三短”强烈的求救信号。</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9.破窗功能：内置机械钨钢尖头破窗器。</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10.连续工作时间≥200h；内置可充电锂电池，电池容量≥3200mAh，配置铝箱。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有毒气体探测仪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1.具备泵吸采样功能，具有自动校准与自动归零功能，具备听觉/视觉/振动警报，可检测4种有毒有害和可燃等气体浓度；用于化工、应急救援和消防救援等行业检测。</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2.气体种类：可燃气LEL；氧气O</w:t>
            </w:r>
            <w:r>
              <w:rPr>
                <w:rFonts w:hint="eastAsia" w:ascii="宋体" w:hAnsi="宋体" w:eastAsia="宋体" w:cs="宋体"/>
                <w:i w:val="0"/>
                <w:iCs w:val="0"/>
                <w:color w:val="000000"/>
                <w:sz w:val="22"/>
                <w:szCs w:val="22"/>
                <w:highlight w:val="none"/>
                <w:u w:val="none"/>
                <w:lang w:val="en-US" w:eastAsia="zh-CN" w:bidi="ar"/>
              </w:rPr>
              <w:t xml:space="preserve">₂</w:t>
            </w:r>
            <w:r>
              <w:rPr>
                <w:rFonts w:hint="eastAsia" w:ascii="宋体" w:hAnsi="宋体" w:eastAsia="宋体" w:cs="宋体"/>
                <w:i w:val="0"/>
                <w:iCs w:val="0"/>
                <w:color w:val="000000"/>
                <w:sz w:val="22"/>
                <w:szCs w:val="22"/>
                <w:highlight w:val="none"/>
                <w:u w:val="none"/>
                <w:lang w:val="en-US" w:eastAsia="zh-CN" w:bidi="ar"/>
              </w:rPr>
              <w:t xml:space="preserve">；一氧化碳CO；硫化氢</w:t>
            </w:r>
            <w:r>
              <w:rPr>
                <w:rFonts w:hint="eastAsia" w:ascii="宋体" w:hAnsi="宋体" w:eastAsia="宋体" w:cs="宋体"/>
                <w:i w:val="0"/>
                <w:iCs w:val="0"/>
                <w:color w:val="000000"/>
                <w:sz w:val="22"/>
                <w:szCs w:val="22"/>
                <w:highlight w:val="none"/>
                <w:u w:val="none"/>
                <w:lang w:val="en-US" w:eastAsia="zh-CN" w:bidi="ar"/>
              </w:rPr>
              <w:t xml:space="preserve">H₂S。</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3.气体量程：LEL:0-100%LEL；O2:0-30%VOL；CO:0-500PPM；H2S:0-100ppm。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▲4.气体精度：≤3%FS；响应时间：≤20秒（T90）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5.高清彩色屏：≥2.3英寸；可查看历史数据、实时曲线图。</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6.仪器支持背光自动休眠，休眠时长可设置。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▲7.检测方式：内置采集泵，泵吸采样方式；支持定时检测，支持单独关闭采样。</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8.警报方式：听觉、视觉和振动三种方式。</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9.报警模式设置：低限报警、高限报警、区间报警、加权平均值报警等设置。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10.存储容量：≥2万组数据存储；支持实时存储、定时存储，或只存报警浓度数据。</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11.防护等级：≥IP65</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12.单电池使用时间：≥10小时</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13.工作温度≥-20℃-50℃</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14.配置防水、防尘和防摔防护箱。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yellow"/>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sz w:val="22"/>
                <w:szCs w:val="22"/>
                <w:highlight w:val="none"/>
                <w:vertAlign w:val="baseline"/>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可燃气体检测仪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1.便携式可燃气体检测仪，用于检测事故现场易燃易爆气体,可检测易燃易爆气体的体积浓度。</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2.气体种类：可燃气。</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3.气体量程：EX:0-100%LEL。</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4.报警方式：视觉、振动、声音（95dB）</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5.低限、高限、STEL、TWA、OL（超限）、电量不足、视听警报在传感。</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6.器故障时、电池电量不足时和电路故障时（不间断）发出警报。</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7.防爆等级：≥ EX ia IIC T4 Ga</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8.防护等级：≥IP68</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9.工作温度：≥-20～+50°C</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10.工作时间：≥15h</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11.尺寸：≤11.3 * 6.0 * 3.2 cm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12.重量：≤200g</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sz w:val="22"/>
                <w:szCs w:val="22"/>
                <w:highlight w:val="none"/>
                <w:vertAlign w:val="baseline"/>
                <w:lang w:val="en-US" w:eastAsia="zh-CN"/>
              </w:rPr>
            </w:r>
            <w:r/>
          </w:p>
        </w:tc>
        <w:tc>
          <w:tcPr>
            <w:tcW w:w="1187"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t xml:space="preserve">中压分水器</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2.采用锻造工艺，进水口径：80mm；出水口径：3个65mm。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三分水</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1187"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2、采用锻造工艺，进水口径：80mm；出水口径：2个65mm。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二分水</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lang w:val="en-US" w:eastAsia="zh-CN"/>
              </w:rPr>
              <w:t xml:space="preserve">三</w:t>
            </w:r>
            <w:r>
              <w:rPr>
                <w:rFonts w:hint="eastAsia" w:ascii="宋体" w:hAnsi="宋体" w:eastAsia="宋体" w:cs="宋体"/>
                <w:sz w:val="22"/>
                <w:szCs w:val="22"/>
                <w:highlight w:val="none"/>
                <w:vertAlign w:val="baseline"/>
              </w:rPr>
              <w:t xml:space="preserve">分水器</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2.采用锻造工艺，进水口径：65mm；出水口径：3个40mm。</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lang w:val="en-US" w:eastAsia="zh-CN"/>
              </w:rPr>
              <w:t xml:space="preserve">二</w:t>
            </w:r>
            <w:r>
              <w:rPr>
                <w:rFonts w:hint="eastAsia" w:ascii="宋体" w:hAnsi="宋体" w:eastAsia="宋体" w:cs="宋体"/>
                <w:sz w:val="22"/>
                <w:szCs w:val="22"/>
                <w:highlight w:val="none"/>
                <w:vertAlign w:val="baseline"/>
              </w:rPr>
              <w:t xml:space="preserve">分水器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1.符合XF 868-2010《分水器和集水器》标准要求。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2.采用锻造工艺，进水口径：65mm；出水口径：2个40mm。</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39</w:t>
            </w:r>
            <w:r>
              <w:rPr>
                <w:rFonts w:hint="eastAsia" w:ascii="宋体" w:hAnsi="宋体" w:eastAsia="宋体" w:cs="宋体"/>
                <w:sz w:val="22"/>
                <w:szCs w:val="22"/>
                <w:highlight w:val="none"/>
                <w:vertAlign w:val="baseline"/>
                <w:lang w:val="en-US" w:eastAsia="zh-CN"/>
              </w:rPr>
            </w:r>
            <w:r/>
          </w:p>
        </w:tc>
        <w:tc>
          <w:tcPr>
            <w:tcW w:w="1187"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t xml:space="preserve">异型异径接口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12514.1-2005《消防接口》标准要求。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2.采用锻造工艺，类型80mm转65mm。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80转65</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1187"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12514.1-2005《消防接口》标准要求。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2.采用锻造工艺，类型65mm转40mm。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65转40</w:t>
            </w: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消防员湿式水域救援防护服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1.主体颜色为橙色，加固部位为黑色，整体采用分体式设计,穿脱方便。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2.不低于3mm的氯丁橡胶材质可以在寒冷的温度中提供良好的热反射性能。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3.前置拉链可以使救援者穿、脱装备都迅速、便捷。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4.在腿部臀部都有加固材料垫，可以提供额外的保护。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5.手臂、腿部设有反光条，提高了救援者的警示性。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6.大腿两侧有口袋，可放置随身物品。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7.色牢度：耐水摩擦≥4级；耐洗沾色：≥4级；耐光色牢度：≥4级。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8.耐静水压：≥100kPa。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9.抗永久变形：经向：≥4.0% 纬向：≥4.0%。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10.质量：≤1.45kg。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消防员干式水域救援防护服</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1.采用3层防水透气复合尼龙布,完全符合人体工学，穿着行动自由，不影响穿脱。</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主体颜色为红色，加固部位为黑色，颜色显目，更利于救援；有门襟设计，防水拉链闭合，如厕时不用脱下整件衣服。集成式腰部束紧设计，左右两侧可调节舒适度；增加可拆卸可调节Y型背带。一体式袜套，防水，保暖，含有连体脚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3.大腿部两侧增加有排水孔工具袋，盛放必要救援物品的口袋，且有排水功能。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4.高亮反光带，两手臂都有反光条，膝盖和臀部位置耐磨采用加厚层。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5.前斜拉链为气密防水拉链，外设挡水护盖，保证完美的气密性，方便快速穿脱，满足单人穿脱要求。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6.领口、袖口使用乳胶材质，保证气密性和增强舒适度。 橡胶颈部和腕关节弹性伸缩袖口、领口。</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7.面料：表面抗湿性能沾水等级：≥4级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8.断裂强力：经向：≥890N，纬向：≥860N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9.撕破强力：经向：≥120N，纬向：≥120N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10.耐静水压：≥75kPa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11.接缝断裂强力：≥780N</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12.整体防渗漏性能：经过抗渗漏试验后，进入防护服内水的质量：≤200g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13.质量：≤2.4kg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消防员水域救援防护靴</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1.由靴头、靴外底、靴跟、靴底和带舒适层的靴帮等组成；内有弹性潜水材料内胆，为足部提供良好的保暖性和踝部支撑。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2.靴子整体为系带式设计，鞋跟处凸起设计，方便与脚蹼搭配使用。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3.主体颜色采用黑色。从靴内后跟中央起至靴口最低处的高度为200mm。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4.鞋帮抗张强度：横向≥15N/mm2  纵向≥15N/mm2。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5.鞋帮撕裂强度：≥170 N/mm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6.外底断裂拉伸强度：≥17MPa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7.外底拉断伸长率：≥475%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8.外底相对体积磨耗量：≥140mm3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9.靴帮抗切割性能：不应被割穿。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10.靴帮抗刺穿性能：最大抗刺穿≥75N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11.靴底抗刺穿性能：抗刺穿力≥1200N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12.外底耐弯折性能：断裂长度≤9mm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13.防滑性能：始滑角≥14°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14.质量：≤1.4kg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消防员水域救援头盔</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1.低重心无帽沿设计，贴合头部，顶端有≥6个透气孔。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2.头盔两侧一体式护耳部件。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3.ABS工程塑料注塑成型盔壳，高密度EVA缓冲垫。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4.头箍设有EVA衬垫，魔术贴固位。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5.快调式帽衬设计，带Go Pro NVG墨鱼干支架底座，侧面双导轨，可配救援头灯和水下照相机。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6.冲击吸收性能：冲击力的最大值≥3500N。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7.顶部抗冲击加速度性能：最大加速度：≥145g。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8.耐穿透性能：钢锥未穿透头盔与头模产生接触。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9.漂浮性能：经24小时的漂浮性能试验，头盔始终漂浮在水面上，不沉入水中。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10.质量：≤550g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消防员水域救援手套</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1.为五指分离式设计，掌心和手指部位敷有用于增强外层耐磨性的材料。手套袖筒长度超出腕骨≥65mm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2.消防员水域救援防护手套与水域救援服袖口配合穿戴，手套口有收紧设计，能限制杂物进入手套内。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3.抗切割性能：掌心面材料≥5N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4.撕破强力：掌心面材料≥62N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5.抗刺穿性能：掌心面刺穿力≥62N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6.灵巧性能：徒手控制百分≤200%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7.抓握性能：拉重力比≥88.0%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8.穿戴性能：穿戴时间≤8s</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激流救生衣</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1.面料采用方形针织压力点和不低于1680D材质的尼龙面料。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2.采用背心式设计，胸襟采用塑钢开口拉链，后领口增加手提式松紧提拉带设计，方便携带。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3.环绕胸部设置一条多功能腰带，前胸是设置PFD自救装置，后背部设有牵引绳连接拉环。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4.活饵快卸系统：环绕胸部腰带一条，宽约5cm的尼龙织带，使用一组不锈钢日型环及塑钢固定，拉环上配置一根快速牵引绳，可以固定于肩部，不影响救援动作。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5.正面配置2个大容量排水网布构成的置物袋（可拆卸式设计），肩部配置一个对讲机口袋（可拆卸式设计），后背同时也增加一个大容量置物袋（可拆卸式设计）。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6.多个前置挂点的设计方便使用者在使用和固定刀、口哨时都方便快捷。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7.前后面缝制≥5条反光条，下摆部带有连接点，用于连接腿带固定带，以防水流水浪将救生衣冲脱。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8.浮力≥150N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9.浮力损失：救生衣在淡水中浸泡24h后，其浮力损失为≤3.5%</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消防员水域救援绳刀</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1.刀身为金属材料制造，并采用直形刀体、弧形刀刃和锯齿状刀背的结构，刀头为平头且不开刃，救援刀有刀鞘，刀柄有防滑设计。双面按压式开关，双手按下，刀会自动弹出到手上。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2.刀鞘采用双面安全开关机制，单独按一面不会弹出，确保救援刀不会滑落。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3.手柄处带有小长方形孔洞可作为压缩气瓶的扳手。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4.手柄处椭圆形孔洞可以作为开瓶器使用。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5.整刀长度：≥195mm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6.刀柄长度：≤120mm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7.质量：救援刀≤100g，救援刀连同刀鞘≤170g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8.刀体抗弯性能：刀体悬挂60kg重物，保持30min，不应发生断裂或变形。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9.硬度：≥53HRC</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207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牛尾绳</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1.不低于30mm宽管状尼龙织带。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2.带有不锈钢 O 型环和安全钩，挂接方便快速。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3.牵引绳两端加厚塑胶塑封，良好的耐候性，牢固且耐摩擦。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4.规格：静态长度≥70cm、伸展后长度≥100cm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5.快速连接锁扣：表面编有反光丝方便黑暗条件下反光，颜色：黑色。</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65"/>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水域救援头灯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1.亮度：≥300流明。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2.具备近光和频闪切换功能。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3.具备亮度调节功能。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4.具备红灯警示功能。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5.头灯重量：≤150g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6.发光时间：≥10h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7.射距离：≥10m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850"/>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49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示位灯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1.外观新颖，结构简单，操作简便。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2.触水自动点亮设计，触水铜柱镀金处理，穿着救生衣服的跳入水中后自动点亮衣灯，不需要预先打开救生衣灯。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3.LED灯泡，节能、高效、寿命长。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4.外壳高频焊接，美观牢固不渗水。</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水域救援抛绳包</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1.采用高强度面料，底部有泄水孔排水措施，设有携带的提手。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2.绳索结构：为包芯绳结构，主承重部分由连续纤维制成。绳索表面无任何机械损伤现象，整绳粗细均匀、结构一致。绳皮编入2股贯穿全绳的蓄光发光纤维及1股反光条。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3.直径：≤8mm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4.长度：≥20m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5.延伸率：≤5.5%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6.破断强度：≥22.5kN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7.线密度：≤40g/m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中队级双光无人机</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飞行器：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1.裸机重量（带普通桨叶）：≤1500g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2.最大起飞重量（常规桨叶）：≥1000g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3.折叠尺寸：≤长300mm，宽400mm，高200mm。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4.最大载重：≥1430g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5.对角线轴距：≤550mm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6.最大上升速度：≥10m/s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7.最大下降速度：≥6m/s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8.最大水平飞行速度（海平面附近无风）：≥20m/s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9.最大起飞海拔高度：≥5500m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10.飞行器自带夜航灯。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相机：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1.广角相机像素：≥1/1.3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2.中长焦相机像素：≥1/1.3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3.长焦相机像素：≥1/1.5 英寸 cmOS，有效像素 4800万。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4.最小拍照间隔：≤1秒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5.热成像传感器类型：非制冷氧化钒（VO*）；</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6.热成像相机分辨率：≥640×512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云台、感知：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1.云台稳定系统：三轴机械云台（俯仰、横滚、平移。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2.云台可控转动范围：俯仰≥-90°～ 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3.感知系统类型：全向双目视觉系统，辅以机身底部三维红外传感器。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图传：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1.最大信号有效距离（无干扰、无遮挡）：FCC≥25公里。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2.最大信号有效距离（有干扰）：强干扰：都市中心≥1.5公里；中干扰：近郊县城≥5公里；微干扰：远郊/海边≥15公里。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遥控器：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1.遥控器屏幕分辨率：≥1920×1200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2.遥控器屏幕尺寸：≥7英寸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3.遥控器内置电池续航时间：≥3.5小时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4.遥控器工作环境温度：-20℃～50℃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5.遥控器重量（不含外置电池）：≤1.5kg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套装内需要包含1台无人机，1块电池，1台遥控器，1个充电管家，1个安全箱，原厂1年机身保险，1年100万第三者责任险。</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自保多功能水枪</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1.符合GB8181-2005《消防水枪》标准要求。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▲2.流量：直流≥9.5L/S，最大喷雾角时≥9.5L/S</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3.可单独使用直流或喷雾状态，也可使用直流/喷雾组合状态，灭火的同时又可自保。</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液压开门器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1.设备体积小、重量轻、携带方便；开启力大、开启能力强。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2.额定工作压力≥60Mpa；最大开启力≥80KN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3.闭合长度：≤300mm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4.开启距离：≥70mm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5.质量：≤8kg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舷外机</w:t>
            </w:r>
            <w:r>
              <w:rPr>
                <w:rFonts w:hint="eastAsia" w:ascii="宋体" w:hAnsi="宋体" w:eastAsia="宋体" w:cs="宋体"/>
                <w:i w:val="0"/>
                <w:iCs w:val="0"/>
                <w:color w:val="000000"/>
                <w:sz w:val="22"/>
                <w:szCs w:val="22"/>
                <w:highlight w:val="none"/>
                <w:u w:val="none"/>
                <w:lang w:val="en-US" w:eastAsia="zh-CN" w:bidi="ar"/>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1.功率：≥28kW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2.发动机缸数：≥2个。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3.重量：≤80kg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4.排量：≥650cc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5.油箱容积：≥24L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6.发动机浆叶为304不锈钢材质（或更优），浆叶片数量≥3片。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7.启动系统：手动或电启动器。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8.控制：手柄控制。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9.倾斜系统：手动倾斜。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10.润滑系统：预混汽油和机油。</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舟艇</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1.外长≥430cm，外宽≥190cm</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▲2.气囊数≥4个，辅助D型扣数量9个，船首拖拽装置1套，尾板高度400mm，最大载荷900kg。</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3.艇底结构：船底深V型设计，水阻小。</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4.艇身材质：≥0.9mmPVC复合加网材质</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5.底板材质：铝合金拼装底板</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▲6.耐压性：满载状态时，船艇各气囊加压至1.15倍额定压力后静置30min，无异样。</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▲7.气密性：额定压力为0.025Mpa，空载状态下浮筒静置60min后剩余压力为0.025Mpa；额定压力为0.035Mpa，空载状态下充气底板静置60min后剩余压力为0.035Mpa。</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▲8.安全及性能要求：静态稳性满载10人当所有人移至船体一舷时，倾斜角度≤10°，满载排水量≥978kg， 配30马力船外机最大航速空载≥46km/h,载重400kg时航速≥ 38km/h。</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9.回转直径：载重75kg，航速11km/h时，左转≤3.0m，右转≤3.8m。</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10.充气时间：采用额定压力30Mpa气瓶充气时间≤130S</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▲11.依据SL297-2004对橡胶涂覆织物物理性能检测：经向拉伸强度≥90kN/m，纬向拉伸强度≥71kN/m、经向梯形撕裂强度≥420N。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12.安全性：依据GB/T26572-2011、GB8410-2006 对四种限用物质铅、镉、汞、六价铬及邻苯二甲酸酯均不应检出。</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13.为防止橡皮艇污染水体，依据GB6675.4-2014对下列八大重金属材质：可溶性铅、可溶性锑、可溶性砷、可溶性钡、可溶性镉、可溶性铬、可溶性汞、可溶性硒，均不应检出。</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14.耐磨性：依据GB/T19089-2012、GB/T19089-2012检测，在12kPa压力下，PVC材料的耐磨性≥1000次摩擦后无变化，抗刺穿性≥166N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15.可配备2冲程30马力短轴船外机。</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16.产品经过中国船级社（CCS）检验。</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艘</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机动链锯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1.适用于切割木头、石膏板等。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2.发动机排量：≥50 CC</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3.功率：≥2.4 kW</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二级化学防护服</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▲符合GA770-2008《消防员化学防护服装》标准要求。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救生照明线</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26783-2011《消防救生照明线》标准要求。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2.线体长度≥100m。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▲3.线体能承受拉力≥300N</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4.质量≤6kg</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59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止坠器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1.锁止机构挤压式制动模式抓绳器，用于自动制动与防坠落保护。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2.材质：侧板铝合金；棘齿不锈钢。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3.侧板厚度：≥3mm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4.适用绳径8-13mm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6.尺寸：≤100*70*25mm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7.重量：≤200g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60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安全钩</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1.材质：铝合⾦。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2.尺⼨：≤110×60×20mm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4.纵向断裂强度：≥22kN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5.横向断裂强度：≥7kN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6.开口拉力：≥7kN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7.开⼝尺⼨：≥19mm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lang w:val="en-US" w:eastAsia="zh-CN"/>
              </w:rPr>
              <w:suppressLineNumbers w:val="0"/>
            </w:pPr>
            <w:r>
              <w:rPr>
                <w:rFonts w:hint="eastAsia" w:ascii="宋体" w:hAnsi="宋体" w:eastAsia="宋体" w:cs="宋体"/>
                <w:sz w:val="22"/>
                <w:szCs w:val="22"/>
                <w:highlight w:val="none"/>
                <w:vertAlign w:val="baseline"/>
                <w:lang w:val="en-US" w:eastAsia="zh-CN"/>
              </w:rPr>
              <w:t xml:space="preserve">61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短连接</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1.短连接，多用于攀岩中固定保护点（如挂片、岩钉）连接、登山、消防救援与高海拔作业中的安全带与固定锚点连接等。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2.材质：铝合金、涤纶。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3.开口距离：≥21±1mm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5.极限负荷：≥22kN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7.扁带长度：≥12cm，宽度：≥20mm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8.重量：≤190g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静力绳</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1.材料：尼龙和聚酯纤维。</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2.长度≥50米；直径≥10.5毫米。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3.断裂强度≥22KN，8字结强度≥12KN，冲击力（系数0.3）：≥4KN，冲坠次数≥10次，静力延展率≥2.5%，绳皮占有率：≥40%，线轴数≥20，重量≤95克/米。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动力绳</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1.具有优秀的耐磨耐冲击性能，外皮经过热处理手感更加舒适。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2.长度≥50米；直径≥11mm。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3.冲击力≥7.7kN；坠落次数≥16；动态延展率≥35%；静态延展率≥9.5%；表皮滑动率≥0mm；线轴数≥48；重量≤90克/米。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IDS下降器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1.手柄应为非金属材质，可自动回弹，通过手柄的不同位置可以实现下降、存储、锁止等功能。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2.带有防慌乱功能。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3.带有防倒装锁定齿，在绳索倒装时可以将绳索卡住避免跌落。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4.具备至少两个摩擦位置，至少包含1个钢制V形摩擦槽和1个侧板的钢制摩擦唇。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5.侧板可在连接状态下打开，也可通过自带螺丝锁定。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6.应有预留接口，可后续根据需要加装一个辅助摩擦块。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7.应可在倾斜或水平面进行顺畅移动。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8.应也可通过按压凸轮送绳。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9.兼容绳索直径范围应达到：10-11.5mm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10.单人最大工作负荷≥150kg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11.双人最大工作负荷（救援）≥250kg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12.重量≤600g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13.应能承受1.5倍的最大载荷3min，在锁止状态下的滑移不应大于125mm，卸载后应能正常解锁。</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高空手套</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山羊皮面料柔软舒适、有弹性。手掌高磨损部位采用耐磨层提高耐用性。背面活动区域使用耐磨弹性材料具有很高的舒适性与透气性。手套腕部设有魔术贴搭扣，粘贴牢固，并可以自行调整松紧，手腕设置圆孔方便与安全钩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2.尺码：S、M、L码可选。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3.重量：≤110g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4.颜色：黑色。</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66</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墙角保护器</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1.用于保护绳索，避免建筑物的棱角、墙角、岩石等粗糙尖锐凸起部分磨损绳索。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2.共有四组梯架，六个椭圆快速连接器连接，可根据绳索经过的地形变化组合，将绳索架离锋利的切割面。多个连接孔可用不同方式连接。允许多模块连接以适应不同作业情况的现场。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4.极限负荷：≥25kN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5.材质：7075铝合金、304不锈钢。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6.尺寸：≤50×18×5.8cm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7.连接孔径：约16mm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8.重量：≤1kg</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67</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可调牛尾</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可调式行进双挽索，动力绳可吸收冲击力，可以在各种行进方式下提供连接保护（绳索上升、生命线移动等）。一端含有调节器，可以很容易地调节挽索长度。锁扣的位置是固定的，方便钩挂，配合安全带使用，用于稳定锚点、短距离作业，主要用于防坠落保护、高空定位及救援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2.材质：绳索尼龙；调节扣7075铝合金。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3.工作负荷：≥5kN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4.极限负荷：≥22kN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5.长度：固定端≥65cm，调节端≥95cm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68</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绳索保护垫</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1.绳索垫布，救援时，铺垫于地⾯，有效保护装备与地⾯的直接摩擦。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2.不低于1680D的牛津布加密面料车缝结构坚固耐磨，充分保护。6个镀锌钢≥16mm孔径气眼，可直接挂主锁固定，实现快速多个垫拼接；保护面积大，适合不规则的环境使用。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3.尺寸：≥140*80cm；厚度≥2mm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4.重量：≤1200g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5.连接孔：≥16mm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69</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绳索保护器滑轮组</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2.用于保护绳索，避免建筑物的棱角、墙角、岩石等粗糙尖锐凸起部分预防磨损绳索。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3.链条式设计（可多联），4角设置有系辅绳固定用挂点。收纳体积小，展开保护面积大，可组合不同长度，围柱，直角，斜坡等环境均适合使用。</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70</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警戒带</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1.用于消防灭火救援、灾害事故现场警戒。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2.具有反光功能，材质抗拉伸。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3.每盘宽度≥5cm，长度≥50米。</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71</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锥型事故标志柱</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1.用于灾害事故现场道路警戒。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2.具有防晒,耐热,耐寒不变色等优点；材质牢固，外敷高强级标准反光材料，红白相间,颜色醒目。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3.纯橡胶制品，耐撞击、碾压、耐水、灰尘，能迅速回弹，不伤车伤人。</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4.高度≥70cm。</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72</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危险警示牌</w:t>
            </w:r>
            <w:r>
              <w:rPr>
                <w:rFonts w:hint="eastAsia" w:ascii="宋体" w:hAnsi="宋体" w:eastAsia="宋体" w:cs="宋体"/>
                <w:sz w:val="22"/>
                <w:szCs w:val="22"/>
                <w:highlight w:val="none"/>
                <w:vertAlign w:val="baseline"/>
              </w:rPr>
            </w:r>
            <w:r/>
          </w:p>
        </w:tc>
        <w:tc>
          <w:tcPr>
            <w:tcW w:w="5826"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1.灾害事故现场警戒警示。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2.金属材料制作，规格分三角形状，边长≥400mm，表面红、黄反光漆。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3.分为有毒、易燃、泄漏、爆炸、危险等五种标志。</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73</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电台</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★1.对讲机应具有中华人民共和国工业和信息化部颁发的《无线电发射设备型号核准证》</w:t>
            </w:r>
            <w:r>
              <w:rPr>
                <w:rFonts w:hint="eastAsia" w:ascii="宋体" w:hAnsi="宋体" w:eastAsia="宋体" w:cs="宋体"/>
                <w:b/>
                <w:bCs/>
                <w:i w:val="0"/>
                <w:iCs w:val="0"/>
                <w:color w:val="000000"/>
                <w:sz w:val="22"/>
                <w:szCs w:val="22"/>
                <w:highlight w:val="none"/>
                <w:u w:val="none"/>
                <w:lang w:val="en-US" w:eastAsia="zh-CN" w:bidi="ar"/>
              </w:rPr>
              <w:t xml:space="preserve">（提供有效的证书）</w:t>
            </w:r>
            <w:r>
              <w:rPr>
                <w:rFonts w:hint="eastAsia" w:ascii="宋体" w:hAnsi="宋体" w:eastAsia="宋体" w:cs="宋体"/>
                <w:b/>
                <w:bCs/>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2.支持接入语音自组网基站。</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3.频率范围：350-400MHz</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4.发射功率：≤3.5W</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▲5.具备按照消防三级组网要求预设频率、一键选频功能。</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5"/>
              </w:numPr>
              <w:jc w:val="left"/>
              <w:keepLines w:val="0"/>
              <w:keepNext w:val="0"/>
              <w:pageBreakBefore w:val="0"/>
              <w:spacing w:line="360" w:lineRule="exact"/>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具备一键报警撤离功能，对讲机可配置1个一键撤离按键，紧急情况下通过在对讲机按报警键，可一键发送紧急撤离指令。</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7.对讲机须支持全程录音、录音文件导出功能。</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8.显示屏：≥2.0英寸彩色半反半透显示屏，便于在强光、弱光下清晰可见。</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9.键盘按键尺寸≥10mm×8mm（L×H）</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10.电池：按百分比显示剩余电池电量；工作时间：≥12小时。</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11.内置蓝牙模块。</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▲12.内置单北斗模块。</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red"/>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▲13.防护等级：≥IP68</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red"/>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14.须支持PDT集群、PDT常规、模拟MPT1327集群、模拟常规四种工作模式。</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15.防湿、冲击和振动符合中国军标GJB 150.9A-2009标准。</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16.内置NFC功能。</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17.外壳材料：防火级别至少为V-0</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▲18、防爆等级：不低于EX ibⅡB T4 Gb；EX ib ⅢB T135℃ Db</w:t>
            </w:r>
            <w:r>
              <w:rPr>
                <w:rFonts w:hint="eastAsia" w:ascii="宋体" w:hAnsi="宋体" w:eastAsia="宋体" w:cs="宋体"/>
                <w:b/>
                <w:bCs/>
                <w:i w:val="0"/>
                <w:iCs w:val="0"/>
                <w:color w:val="000000"/>
                <w:sz w:val="22"/>
                <w:szCs w:val="22"/>
                <w:highlight w:val="none"/>
                <w:u w:val="none"/>
                <w:lang w:val="en-US" w:eastAsia="zh-CN" w:bidi="ar"/>
              </w:rPr>
              <w:t xml:space="preserve">（提供防爆证书）</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▲19.支持高级降噪技术，噪声抑制能力不小于25dB。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接收部分：</w:t>
            </w:r>
            <w:r>
              <w:rPr>
                <w:rFonts w:hint="eastAsia" w:ascii="宋体" w:hAnsi="宋体" w:eastAsia="宋体" w:cs="宋体"/>
                <w:b/>
                <w:bCs/>
                <w:sz w:val="22"/>
                <w:szCs w:val="22"/>
                <w:highlight w:val="none"/>
                <w:lang w:val="en-US" w:eastAsia="zh-CN"/>
              </w:rPr>
              <w:t xml:space="preserve">（带▲参数提供具有检测资质机构出具的检测报告）</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1.数字接收灵敏度：≤-118dBm@BER5%</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2.邻道选择性：≥60dB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3.互调：≥65dB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4.杂散响应抑制：≥70dB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5.阻塞：≥84dB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6.共信道抑制检验：≥-12dB</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发射部分：</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1.发射功率：≤3.5W</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2.4FSK调制频偏误差检验：≤10%</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3.4FSK发射误码率检验：≤1*10-4 </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4.占用带宽：≤8.5kHz</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5.频率误差检验：≤1.5*10-6 </w:t>
            </w:r>
            <w:r>
              <w:rPr>
                <w:rFonts w:hint="eastAsia" w:ascii="宋体" w:hAnsi="宋体" w:eastAsia="宋体" w:cs="宋体"/>
                <w:i w:val="0"/>
                <w:iCs w:val="0"/>
                <w:color w:val="000000"/>
                <w:sz w:val="22"/>
                <w:szCs w:val="22"/>
                <w:highlight w:val="none"/>
                <w:u w:val="none"/>
                <w:lang w:val="en-US" w:eastAsia="zh-CN" w:bidi="ar"/>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74</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快速攻击炮</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1.符合GB19156-2019《消防炮》标准要求。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▲2.流量三档调节：20L/S，30L/S，40L/S；射程≥66米。</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2"/>
                <w:szCs w:val="22"/>
                <w:highlight w:val="none"/>
                <w:lang w:val="en-US" w:eastAsia="zh-CN"/>
              </w:rPr>
              <w:t xml:space="preserve">提供具有检测资质机构出具的检测报告</w:t>
            </w:r>
            <w:r>
              <w:rPr>
                <w:rFonts w:hint="eastAsia" w:ascii="宋体" w:hAnsi="宋体" w:eastAsia="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3.重量≤11公斤。</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674"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75</w:t>
            </w:r>
            <w:r>
              <w:rPr>
                <w:rFonts w:hint="eastAsia" w:ascii="宋体" w:hAnsi="宋体" w:eastAsia="宋体" w:cs="宋体"/>
                <w:sz w:val="22"/>
                <w:szCs w:val="22"/>
                <w:highlight w:val="none"/>
                <w:vertAlign w:val="baseline"/>
                <w:lang w:val="en-US" w:eastAsia="zh-CN"/>
              </w:rPr>
            </w:r>
            <w:r/>
          </w:p>
        </w:tc>
        <w:tc>
          <w:tcPr>
            <w:tcW w:w="1187"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无齿锯</w:t>
            </w:r>
            <w:r>
              <w:rPr>
                <w:rFonts w:hint="eastAsia" w:ascii="宋体" w:hAnsi="宋体" w:eastAsia="宋体" w:cs="宋体"/>
                <w:sz w:val="22"/>
                <w:szCs w:val="22"/>
                <w:highlight w:val="none"/>
                <w:vertAlign w:val="baseline"/>
              </w:rPr>
            </w:r>
            <w:r/>
          </w:p>
        </w:tc>
        <w:tc>
          <w:tcPr>
            <w:tcW w:w="5826"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1.符合GB32460-2015《消防应急救援装备破拆机具通用技术条件》标准要求。</w:t>
            </w:r>
            <w:r>
              <w:rPr>
                <w:rFonts w:hint="eastAsia" w:ascii="宋体" w:hAnsi="宋体" w:eastAsia="宋体" w:cs="宋体"/>
                <w:i w:val="0"/>
                <w:iCs w:val="0"/>
                <w:color w:val="000000"/>
                <w:sz w:val="22"/>
                <w:szCs w:val="22"/>
                <w:highlight w:val="none"/>
                <w:u w:val="none"/>
                <w:lang w:val="en-US" w:eastAsia="zh-CN" w:bidi="ar"/>
              </w:rPr>
            </w:r>
            <w:r/>
          </w:p>
          <w:p>
            <w:pPr>
              <w:pStyle w:val="663"/>
              <w:jc w:val="left"/>
              <w:keepLines w:val="0"/>
              <w:keepNext w:val="0"/>
              <w:pageBreakBefore w:val="0"/>
              <w:spacing w:line="360" w:lineRule="exact"/>
              <w:widowControl/>
              <w:rPr>
                <w:rFonts w:hint="eastAsia" w:ascii="宋体" w:hAnsi="宋体" w:eastAsia="宋体" w:cs="宋体"/>
                <w:sz w:val="22"/>
                <w:szCs w:val="22"/>
                <w:highlight w:val="none"/>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2.功率≥5.5kW。</w:t>
            </w:r>
            <w:r>
              <w:rPr>
                <w:rFonts w:hint="eastAsia" w:ascii="宋体" w:hAnsi="宋体" w:eastAsia="宋体" w:cs="宋体"/>
                <w:sz w:val="22"/>
                <w:szCs w:val="22"/>
                <w:highlight w:val="none"/>
                <w:vertAlign w:val="baseline"/>
              </w:rPr>
            </w:r>
            <w:r/>
          </w:p>
        </w:tc>
        <w:tc>
          <w:tcPr>
            <w:tcW w:w="74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pStyle w:val="663"/>
        <w:keepLines w:val="0"/>
        <w:keepNext w:val="0"/>
        <w:pageBreakBefore w:val="0"/>
        <w:spacing w:before="157" w:after="157" w:line="3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663"/>
        <w:keepLines w:val="0"/>
        <w:keepNext w:val="0"/>
        <w:pageBreakBefore w:val="0"/>
        <w:spacing w:before="157" w:after="157" w:line="3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663"/>
        <w:keepLines w:val="0"/>
        <w:keepNext w:val="0"/>
        <w:pageBreakBefore w:val="0"/>
        <w:spacing w:before="157" w:after="157" w:line="360" w:lineRule="exact"/>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采购包2</w:t>
      </w:r>
      <w:r>
        <w:rPr>
          <w:rFonts w:ascii="宋体" w:hAnsi="宋体" w:eastAsia="宋体" w:cs="宋体"/>
          <w:b/>
          <w:bCs/>
          <w:sz w:val="28"/>
          <w:szCs w:val="28"/>
          <w:lang w:val="en-US" w:eastAsia="zh-CN"/>
        </w:rPr>
      </w:r>
      <w:r/>
    </w:p>
    <w:tbl>
      <w:tblPr>
        <w:tblStyle w:val="694"/>
        <w:tblW w:w="99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125"/>
        <w:gridCol w:w="5383"/>
        <w:gridCol w:w="864"/>
        <w:gridCol w:w="864"/>
        <w:gridCol w:w="864"/>
      </w:tblGrid>
      <w:tr>
        <w:trPr>
          <w:trHeight w:val="575"/>
          <w:tblHeade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val="en-US" w:eastAsia="zh-CN" w:bidi="ar"/>
              </w:rPr>
            </w:r>
            <w:r/>
          </w:p>
        </w:tc>
        <w:tc>
          <w:tcPr>
            <w:tcW w:w="112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器材名称</w:t>
            </w:r>
            <w:r>
              <w:rPr>
                <w:rFonts w:hint="eastAsia" w:ascii="宋体" w:hAnsi="宋体" w:eastAsia="宋体" w:cs="宋体"/>
                <w:b/>
                <w:bCs/>
                <w:i w:val="0"/>
                <w:iCs w:val="0"/>
                <w:color w:val="000000"/>
                <w:sz w:val="21"/>
                <w:szCs w:val="21"/>
                <w:u w:val="none"/>
                <w:lang w:val="en-US" w:eastAsia="zh-CN" w:bidi="ar"/>
              </w:rPr>
            </w:r>
            <w:r/>
          </w:p>
        </w:tc>
        <w:tc>
          <w:tcPr>
            <w:tcW w:w="5383"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主要技术要求</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正压式空气呼吸器（</w:t>
            </w:r>
            <w:r>
              <w:rPr>
                <w:rFonts w:hint="eastAsia" w:ascii="宋体" w:hAnsi="宋体" w:eastAsia="宋体" w:cs="宋体"/>
                <w:i w:val="0"/>
                <w:iCs w:val="0"/>
                <w:color w:val="000000"/>
                <w:sz w:val="21"/>
                <w:szCs w:val="21"/>
                <w:highlight w:val="none"/>
                <w:u w:val="none"/>
                <w:lang w:val="en-US" w:eastAsia="zh-CN" w:bidi="ar"/>
              </w:rPr>
              <w:t xml:space="preserve">6.8L）</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ind w:right="0"/>
              <w:jc w:val="left"/>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1.符合XF124-2013（原GA124-2013）《正压式消防空气呼吸器》标准。</w:t>
            </w:r>
            <w:r>
              <w:rPr>
                <w:rFonts w:hint="eastAsia" w:ascii="宋体" w:hAnsi="宋体" w:eastAsia="宋体" w:cs="宋体"/>
                <w:i w:val="0"/>
                <w:iCs w:val="0"/>
                <w:color w:val="000000"/>
                <w:sz w:val="21"/>
                <w:szCs w:val="21"/>
                <w:u w:val="none"/>
                <w:lang w:val="en-US" w:eastAsia="zh-CN" w:bidi="ar"/>
              </w:rPr>
            </w:r>
            <w:r/>
          </w:p>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2.阻燃性能达到EN137的高温火焰吞没测试要求。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3.该产品主要核心部件由全面罩、供气阀、减压器、警报器、背架组成。且所有核心部件为同一品牌产品铭牌。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4.空呼气瓶容积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6.8L，工作压力30MPa，符合GB28053-2023的规定。气瓶阀采用右手手轮设计，带自锁功能，安全可靠，防止误操作关闭气瓶。刻度显示0-40MPa，方便随时查看气瓶剩余压力，带夜光显示。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5.空呼面罩体采用EPDM橡胶材质，具有优异的阻燃性能，边框为双层设计，密封性良好，无压痛感。面罩视野开阔，总视野保留率≥79.3%，双目视野保留率≥67.5%，镜面透光率≥95%，吸入空气中二氧化碳含量≤0.89%。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6.面罩、口鼻罩均有3个尺寸可选，能够适应各种脸型。面屏防划、抗冲击，无视觉扭曲。面罩配有颈带，面罩护套，便于携带和存储。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7.空呼需气阀最大供气流量不小于500升/分钟，接头可全方向360度旋转，方便插入面罩，吸气自动供气。供气阀可现场免工具拆解清洗，便于日常清洁保养维护。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8.空呼背板人体工程学设计，贴合性好，高强度复合材料中空背板，重量更轻背负更舒适，6.8L，9L通用。 肩垫和腰垫采用国际顶尖防水耐磨的EVA材质，防水性能极佳且易于维护，气瓶固定带采用增强氯丁橡胶材质,无尼龙搭扣设计，更耐用且缩放气瓶带更便利。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9.空呼气路管中高压管路以及减压阀采用内嵌设计，隐藏在背板凹槽内，减少钩挂和撞击伤害，保护气路。在充满气的状态下，整机佩戴质量≤12kg。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10.智能压力表采用电子报警和机械压力表报警哨设计，机械压力表测量范围不低于40MPa，精度应不低于1.6级，其漏气量≤10L/min。启动报警器平均耗气量≤3.2L/min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11.电子压力表系统正常工作时，压力表指示灯闪绿色，报警时显示红色，方便佩戴者和同伴了解报警信息。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12.气动报警哨与电子报警双报警模式，其中，报警哨与压力表一体化设计，报警哨内置于压力表管路内，并有橡胶套保护，可避免碰撞障碍物发生意外损害。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空呼具备压力平视功能，压力平视装置采用无线连接，安装在面罩内部，防止外部撞击伤害，可不使用任何工具独立拆卸，便于日常维护清洁。抬头显示系统（HUD）不仅支持气瓶压力的显示，当压力不足时，还可实现低压震动报警功能，从而实现空呼的可视，可闻以及可感知的全方位低压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14.压力平视装置采用无线连接，首次使用匹配后，每次使用都可以自动连接，操作简单。当气瓶压力30MPa～10MPa时，绿灯常亮；10MPa～6MPa时，黄灯常亮；6 MPa以下时，红灯闪烁。无论是压力平视显示装置还是发射装置低电量时，压力平视显示都可以通过指示电量灯显示，当压力平视装置电池电量低时，电量指示灯闪黄灯，当智能压力表电池电量低时，电量指示灯显闪绿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15.压力平视装置的防爆性能不低于EXia IIC T4 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▲16.空呼经标准要求的动态呼吸阻力试验后，在气瓶压力30MPa～2MPa，呼气量40×2.5L/min时，吸气阻力≤235Pa，呼气阻力≤589Pa；在气瓶压力2MPa～1MPa，呼气量25×2L/min时，吸气阻力≤157Pa，呼气阻力≤506Pa。</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17.空呼经标准要求的耐高温试验后，呼气阻力≤585Pa。空呼经标准要求的耐低温试验后，呼气阻力≤544Pa。</w:t>
            </w:r>
            <w:r>
              <w:rPr>
                <w:rFonts w:hint="eastAsia" w:ascii="宋体" w:hAnsi="宋体" w:eastAsia="宋体" w:cs="宋体"/>
                <w:i w:val="0"/>
                <w:iCs w:val="0"/>
                <w:color w:val="000000"/>
                <w:sz w:val="22"/>
                <w:szCs w:val="22"/>
                <w:u w:val="none"/>
                <w:lang w:val="en-US" w:eastAsia="zh-CN" w:bidi="ar"/>
              </w:rPr>
            </w:r>
            <w:r/>
          </w:p>
          <w:p>
            <w:pPr>
              <w:pStyle w:val="663"/>
              <w:ind w:left="0" w:right="0" w:firstLine="0"/>
              <w:jc w:val="left"/>
              <w:keepLines w:val="0"/>
              <w:keepNext/>
              <w:pageBreakBefore w:val="0"/>
              <w:spacing w:line="360" w:lineRule="exact"/>
              <w:widowControl/>
              <w:rPr>
                <w:rFonts w:ascii="宋体" w:hAnsi="宋体" w:eastAsia="宋体" w:cs="宋体"/>
                <w:sz w:val="21"/>
                <w:szCs w:val="21"/>
                <w:vertAlign w:val="baseline"/>
                <w:lang w:val="en-US"/>
              </w:rPr>
              <w:suppressLineNumbers w:val="0"/>
            </w:pPr>
            <w:r>
              <w:rPr>
                <w:rFonts w:hint="eastAsia" w:ascii="宋体" w:hAnsi="宋体" w:eastAsia="宋体" w:cs="宋体"/>
                <w:i w:val="0"/>
                <w:iCs w:val="0"/>
                <w:color w:val="000000"/>
                <w:sz w:val="22"/>
                <w:szCs w:val="22"/>
                <w:u w:val="none"/>
                <w:lang w:val="en-US" w:eastAsia="zh-CN" w:bidi="ar"/>
              </w:rPr>
              <w:t xml:space="preserve">18.空呼经标准要求的耐辐射热性能试验后，在气瓶压力30MPa～2MPa，呼气量40×2.5L/min时，吸气阻力≤23Pa，呼气阻力≤538Pa。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19.空呼静态压力≤262Pa，整机气密性测试后，其压力指示值在1min内下降为≤2MPa。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20.提供中文使用说明书。</w:t>
            </w:r>
            <w:r>
              <w:rPr>
                <w:rFonts w:ascii="宋体" w:hAnsi="宋体" w:eastAsia="宋体" w:cs="宋体"/>
                <w:sz w:val="21"/>
                <w:szCs w:val="21"/>
                <w:vertAlign w:val="baseline"/>
                <w:lang w:val="en-US"/>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消防六米拉梯</w:t>
            </w:r>
            <w:r>
              <w:rPr>
                <w:rFonts w:hint="eastAsia" w:ascii="宋体" w:hAnsi="宋体" w:eastAsia="宋体" w:cs="宋体"/>
                <w:sz w:val="21"/>
                <w:szCs w:val="21"/>
                <w:vertAlign w:val="baseline"/>
              </w:rPr>
            </w:r>
            <w:r/>
          </w:p>
        </w:tc>
        <w:tc>
          <w:tcPr>
            <w:tcW w:w="5383"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1.该产品符合XF137-2007《消防梯》标准要求。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2.工作高度：6±0.2m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3.最小梯宽：300±3mm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4.梯蹬间距：280±2mm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5.整梯质量：≤26kg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6.梯节扭转角：≤11°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7.水平弯曲残余变形比值：≤0.13％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8.梯蹬弯曲残余变形比值：≤0.10％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9.侧板悬臂弯曲最大变形值：≤1.4mm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10.侧板摇摆残余变形比值≤0.12％</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手抬机动消防泵</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1.符合GB 6245-2006《消防泵》标准要求。</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2.发动机采用双缸、四冲程、风冷，额定功率≥14kw。启动方式：电启动；自回式手拉启动。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3.引水方式：采用全铝油式碳纤维旋片真空泵引水（腔体和转子选用高密度alsimg材质），真空泵前端设置过滤网，且滤网目数≥100目，有效过滤杂物。7米吸深引水时间＜11s，真空密封性能为0，  最大真空度≥88kpa。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4.吸水口径：≥80mm（外螺纹式） ；出水口径：65mm；出水口 180 度可旋转。</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5.工况1：吸深3米：额定压力≥0.6Mpa，额定流量≥18.5L/s；工况2：吸深7米：出口压力≥0.6Mpa，流量≥9L/s。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6.最大工作压力≥0.96mpa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7.扬程≥90米；最大流量≥1500L/min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8.置于</w:t>
            </w:r>
            <w:r>
              <w:rPr>
                <w:rFonts w:hint="eastAsia" w:ascii="宋体" w:hAnsi="宋体" w:eastAsia="宋体" w:cs="宋体"/>
                <w:i w:val="0"/>
                <w:iCs w:val="0"/>
                <w:color w:val="000000"/>
                <w:sz w:val="22"/>
                <w:szCs w:val="22"/>
                <w:highlight w:val="none"/>
                <w:u w:val="none"/>
                <w:lang w:val="en-US" w:eastAsia="zh-CN" w:bidi="ar"/>
              </w:rPr>
              <w:t xml:space="preserve">-5℃环境下24h，</w:t>
            </w:r>
            <w:r>
              <w:rPr>
                <w:rFonts w:hint="eastAsia" w:ascii="宋体" w:hAnsi="宋体" w:eastAsia="宋体" w:cs="宋体"/>
                <w:i w:val="0"/>
                <w:iCs w:val="0"/>
                <w:color w:val="000000"/>
                <w:sz w:val="22"/>
                <w:szCs w:val="22"/>
                <w:u w:val="none"/>
                <w:lang w:val="en-US" w:eastAsia="zh-CN" w:bidi="ar"/>
              </w:rPr>
              <w:t xml:space="preserve">冷启动时间≤3s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9.整机重量（加注好润滑油、燃油，含电瓶）≤86.5kg；外形尺寸≤650*590*660mm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10.无机油保护装置；设备未加注机油时，自动控制火花塞暂停点火。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11.自动充电装置,带有自动充电装置功能的配置，能保证机器在运转过程中自行给蓄电池充电,保证蓄电池电量充足。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12.泵组配置先进的轴向力平衡装置，有效避免流体的压力差对性能的影响。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13.多台设备串联,通过选配的专用连接工具,使多台设备能串联工作,达到远距离供水的目的。</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水幕水带</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1.符合 GB6246-2011《消防水带》的要求。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2.织物层原材料采用涤纶长丝，内衬聚氨酯材料。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3.在一定压力下能喷射形成水雾状屏障，两喷雾孔间距35±1cm。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4.设计工作压力：1.6MPa，公称内径 65mm，水带编织层与衬里之间的附着强度≥58N/25mm，在设计工作压力下其轴向延伸率和直径膨胀率≤1.7%，膨胀率≤2.8%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5.带卡式消防接口，公称直径65mm</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移动照明灯</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1.结构组成：灯头组件、升降杆组件、灯头罩组件、按键盒组件、支腿组件、滑柄组件、电池组件。</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2.检测标准依据：GB26755-2011《消防移动式照明装置》。</w:t>
            </w:r>
            <w:r>
              <w:rPr>
                <w:rFonts w:hint="eastAsia" w:ascii="宋体" w:hAnsi="宋体" w:eastAsia="宋体" w:cs="宋体"/>
                <w:i w:val="0"/>
                <w:iCs w:val="0"/>
                <w:color w:val="000000"/>
                <w:sz w:val="22"/>
                <w:szCs w:val="22"/>
                <w:highlight w:val="yellow"/>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4.外形尺寸：≤201*230*1200mm（收纳状态）</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≤800*800*4020mm（升起状态）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5.照明形式：聚光+泛光，面板开关控制，开关/调光，按键控制灯光开启，弱光-工作光-强光转换。灯具APP控制可以实现灯光亮度的连续调节，调光范围10%～100%无极调光。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6.通过APP蓝牙连接可实现灯具及警示灯开关，灯光亮度的10%～100%无极调光，电量显示、灯具充电状态查看，控制距离≥30m。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7.额定电压：≥DC22.2V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▲8.额定容量：≥25Ah</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9.额定功率：≥180W</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10.电池使用寿命：≥500次循环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11充电时间：＜5h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▲12.水平回转角：≥360°，俯仰角≥180°</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13.整机重量：≤15kg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14.灯具携带方式：手提、背负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15.支撑方式：金属三角支腿，五节支撑杆。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16.连续工作时间：弱光≥13h，工作光≥10h，强光≥6h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17.绝缘电阻：≥100MΩ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18.耐压强度：试验后应无击穿、闪络现象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19.限位性能：1h内升降杆下滑应不超过6cm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20.抗弯性能：在承受一定的水平拉力后，不得产生永久性变形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21.标志：产品合适的位置上应设有铭牌，标记以下内容：制造厂名、产品名称、产品型号、制造日期、执行标准代号。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▲22.照度：强光工作下：1 米中心照度（单向）≥60000 l*，5米中心照度（单向）≥2700 l*，10 米中心照度（单向）≥600 l*</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23.高温试验、低温试验、恒定湿热试验、雨淋试验、振动试验：试验后，照明装置应能正常工作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24.防爆标志：EX eb ib mb IICT5 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25.防护性能≥IP66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26.使用外接适配器可接入220V电源，可实现长时间工作。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27.三灯头设计，照射角度可调节，可实现单向及环形照明，配备高亮度警示灯，在提供现场作业照明同时增强作业保障能力，最大升起高度4m。</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消防九米拉梯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1.该梯由上、下二节组成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2.工作高度：9±0.2m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3.最小梯宽：300±3mm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5.整梯质量：≤26kg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6.梯节扭转角：≤8.0°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7.水平弯曲残余变形比值：≤0.11％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8.梯蹬弯曲残余变形比值：≤0.07％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9.侧板悬臂弯曲最大变形值：≤1.0mm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10.侧板摇摆残余变形比值≤0.09％</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十五米金属拉梯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1.采用航空铝材</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符合XF137-2007《消防梯》要求。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2.由上、中、下三节组成。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3.工作高度：15±0.3m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4.最小梯宽：350±4mm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6.整梯质量：≤69.2kg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7.梯节扭转角：≤10°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8.水平弯曲残余变形比值：≤0.08％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9.梯蹬弯曲残余变形比值：≤0.11％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10.侧板悬臂弯曲最大变形值：≤1.0mm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11.侧板摇摆残余变形比值：≤0.05％</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哈里根铤</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一根杆体一端设置有羊角撬头；</w:t>
            </w:r>
            <w:r>
              <w:rPr>
                <w:rFonts w:hint="eastAsia" w:ascii="宋体" w:hAnsi="宋体" w:eastAsia="宋体" w:cs="宋体"/>
                <w:i w:val="0"/>
                <w:iCs w:val="0"/>
                <w:color w:val="000000"/>
                <w:sz w:val="22"/>
                <w:szCs w:val="22"/>
                <w:u w:val="none"/>
                <w:lang w:val="en-US" w:eastAsia="zh-CN" w:bidi="ar"/>
              </w:rPr>
              <w:t xml:space="preserve">另一端是尖镐头，尖镐头和扁镐头固接为一体；拔钉器单根宽度67mm±5mm；开口20mm±5mm ；长度：187mm；鸭嘴撬宽度50mm±5mm，高度153mm, 鹰嘴撬（尖镐）：长度95mm±10mm，产品尖刃能凿穿厚度1.6mm的Q235A钢板且刃口无明显崩刃和开裂，起撬部位应能承受 7840N的载荷；手柄力≥800N，撬锁力≥16KN，拔钉力≥18KN，撬门力≥10KN工具撬口、刀口、镐头、金属柄杆体，刃口做热处理，硬度≥45度。具有撬、砸、刺、捣、绞扭等多项功能，可破拆建筑物门窗、锁具、钉子、螺栓等。</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挂钩梯</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1.工作高度：4±0.1m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2.最小梯宽：250±2mm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3.梯蹬间距：340±2mm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4.整梯质量：≤8.5kg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5.梯节扭转角：≤10°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6.水平弯曲残余变形比值：≤0.11％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7.梯蹬弯曲残余变形比值：≤0.12％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8.侧板摇摆残余变形比值：≤0.09％</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5"/>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手动破拆工具组</w:t>
            </w:r>
            <w:r>
              <w:rPr>
                <w:rFonts w:hint="eastAsia" w:ascii="宋体" w:hAnsi="宋体" w:eastAsia="宋体" w:cs="宋体"/>
                <w:sz w:val="21"/>
                <w:szCs w:val="21"/>
                <w:vertAlign w:val="baseline"/>
              </w:rPr>
            </w:r>
            <w:r/>
          </w:p>
        </w:tc>
        <w:tc>
          <w:tcPr>
            <w:tcW w:w="5383" w:type="dxa"/>
            <w:vAlign w:val="top"/>
            <w:textDirection w:val="lrTb"/>
            <w:noWrap w:val="false"/>
          </w:tcPr>
          <w:p>
            <w:pPr>
              <w:pStyle w:val="666"/>
              <w:ind w:left="0" w:right="0" w:firstLine="0"/>
              <w:keepLines w:val="0"/>
              <w:keepNext w:val="0"/>
              <w:spacing w:before="0" w:beforeAutospacing="0" w:after="0" w:afterAutospacing="0" w:line="17" w:lineRule="atLeast"/>
              <w:shd w:val="clear" w:color="auto" w:fill="ffffff"/>
              <w:widowControl/>
              <w:rPr>
                <w:rFonts w:hint="eastAsia" w:ascii="宋体" w:hAnsi="宋体" w:eastAsia="宋体" w:cs="宋体"/>
                <w:sz w:val="21"/>
                <w:szCs w:val="21"/>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olor w:val="000000"/>
                <w:sz w:val="22"/>
                <w:szCs w:val="22"/>
                <w:u w:val="none"/>
                <w:lang w:val="en-US" w:eastAsia="zh-CN" w:bidi="ar"/>
              </w:rPr>
              <w:t xml:space="preserve">1.产品符合GB 32459-2015《</w:t>
            </w:r>
            <w:r>
              <w:rPr>
                <w:rFonts w:ascii="宋体" w:hAnsi="宋体" w:eastAsia="宋体" w:cs="宋体"/>
                <w:b w:val="0"/>
                <w:bCs w:val="0"/>
                <w:i w:val="0"/>
                <w:iCs w:val="0"/>
                <w:color w:val="000000"/>
                <w:sz w:val="22"/>
                <w:szCs w:val="22"/>
                <w:u w:val="none"/>
                <w:lang w:val="en-US" w:eastAsia="zh-CN" w:bidi="ar"/>
              </w:rPr>
              <w:t xml:space="preserve">消防应急救援装备 手动破拆工具通用技术条件</w:t>
            </w:r>
            <w:r>
              <w:rPr>
                <w:rFonts w:hint="eastAsia" w:ascii="宋体" w:hAnsi="宋体" w:eastAsia="宋体" w:cs="宋体"/>
                <w:b w:val="0"/>
                <w:bCs w:val="0"/>
                <w:i w:val="0"/>
                <w:iCs w:val="0"/>
                <w:color w:val="000000"/>
                <w:sz w:val="22"/>
                <w:szCs w:val="22"/>
                <w:u w:val="none"/>
                <w:lang w:val="en-US" w:eastAsia="zh-CN" w:bidi="ar"/>
              </w:rPr>
              <w:t xml:space="preserve">》要求。</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2.整套工具包括：多功能手柄1个，各类工具头≥4个，消防平斧≥2把。重量≤19KG，配备模块化防水工程塑料箱。</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3.手动破拆手柄</w:t>
            </w:r>
            <w:r>
              <w:rPr>
                <w:rFonts w:hint="eastAsia" w:cs="宋体"/>
                <w:b w:val="0"/>
                <w:bCs w:val="0"/>
                <w:i w:val="0"/>
                <w:iCs w:val="0"/>
                <w:color w:val="000000"/>
                <w:sz w:val="22"/>
                <w:szCs w:val="22"/>
                <w:u w:val="none"/>
                <w:lang w:val="en-US" w:eastAsia="zh-CN" w:bidi="ar"/>
              </w:rPr>
              <w:t xml:space="preserve">部分</w:t>
            </w:r>
            <w:r>
              <w:rPr>
                <w:rFonts w:hint="eastAsia" w:ascii="宋体" w:hAnsi="宋体" w:eastAsia="宋体" w:cs="宋体"/>
                <w:b w:val="0"/>
                <w:bCs w:val="0"/>
                <w:i w:val="0"/>
                <w:iCs w:val="0"/>
                <w:color w:val="000000"/>
                <w:sz w:val="22"/>
                <w:szCs w:val="22"/>
                <w:u w:val="none"/>
                <w:lang w:val="en-US" w:eastAsia="zh-CN" w:bidi="ar"/>
              </w:rPr>
              <w:t xml:space="preserve">浸水2h后绝缘电阻≤11.5GΩ。</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4.消防斧平刃应能砍断10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的Q235A圆钢，且刃口无明显卷刃、崩刃和开裂等现象。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5.冲击式破拆器尖刃能凿裂等级为C20的混凝土试块，且刃口无明显卷刃、崩刃和开裂等现象。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6.撬斧尖刃能凿穿厚度1.5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的Q235A钢平板，且刃口无明显卷刃、崩刃和开裂等现象。  </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7.撬斧起撬部位能切割厚度1.5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的Q235A钢平板，且刃口无明显卷刃、崩刃和开裂等现象。</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8.手动破拆工具的金属部分经GB/T10125-2021规定的48小时中性盐雾试验后，外观应符合GB 6461-2002外观等级评定轻微伤级的要求。</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9.多功能冲击手柄：冲击行程≤325</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10.消防平斧：收缩长度≥460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，最大展开尺寸：≥650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11.多功能手柄连接撬斧拔钉器后总长度≤1210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12.多功能手柄连接金属切割器后总长度≤1210</w:t>
            </w:r>
            <w:r>
              <w:rPr>
                <w:rFonts w:hint="eastAsia" w:cs="宋体"/>
                <w:b w:val="0"/>
                <w:bCs w:val="0"/>
                <w:i w:val="0"/>
                <w:iCs w:val="0"/>
                <w:color w:val="000000"/>
                <w:sz w:val="22"/>
                <w:szCs w:val="22"/>
                <w:u w:val="none"/>
                <w:lang w:val="en-US" w:eastAsia="zh-CN" w:bidi="ar"/>
              </w:rPr>
              <w:t xml:space="preserve">mm</w:t>
            </w: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br w:type="textWrapping" w:clear="all"/>
            </w:r>
            <w:r>
              <w:rPr>
                <w:rFonts w:hint="eastAsia" w:ascii="宋体" w:hAnsi="宋体" w:eastAsia="宋体" w:cs="宋体"/>
                <w:b w:val="0"/>
                <w:bCs w:val="0"/>
                <w:i w:val="0"/>
                <w:iCs w:val="0"/>
                <w:color w:val="000000"/>
                <w:sz w:val="22"/>
                <w:szCs w:val="22"/>
                <w:u w:val="none"/>
                <w:lang w:val="en-US" w:eastAsia="zh-CN" w:bidi="ar"/>
              </w:rPr>
              <w:t xml:space="preserve">13.多功能手柄重量≤4.5KG、消防平斧重量≤3.3KG、长尖凿工具头重量≤1.45KG、长平凿工具头重量≤1.5KG、长宽凿工具头重量≤1.8KG、撬斧拔钉器工具头重量≤1.7KG、金属切割器工具头重量≤1.5KG。</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多功能挠钩</w:t>
            </w:r>
            <w:r>
              <w:rPr>
                <w:rFonts w:hint="eastAsia" w:ascii="宋体" w:hAnsi="宋体" w:eastAsia="宋体" w:cs="宋体"/>
                <w:sz w:val="21"/>
                <w:szCs w:val="21"/>
                <w:vertAlign w:val="baseline"/>
              </w:rPr>
            </w:r>
            <w:r/>
          </w:p>
        </w:tc>
        <w:tc>
          <w:tcPr>
            <w:tcW w:w="5383" w:type="dxa"/>
            <w:vAlign w:val="top"/>
            <w:textDirection w:val="lrTb"/>
            <w:noWrap w:val="false"/>
          </w:tcPr>
          <w:p>
            <w:pPr>
              <w:pStyle w:val="663"/>
              <w:numPr>
                <w:ilvl w:val="0"/>
                <w:numId w:val="0"/>
              </w:numPr>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1.挠杆柄采用高强度的绝缘材料，防高压，可多节组合。杆头可更换，简便快捷。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2.12件套：包括长挠杆2根、短挠杆1根（有水平仪）、挠钩、双头挠钩、消防锯、无火花消防锤、撑顶器、消防剪、消防斧、登高钩、爪耙、工兵铲等。</w:t>
            </w:r>
            <w:r>
              <w:rPr>
                <w:rFonts w:hint="eastAsia" w:ascii="宋体" w:hAnsi="宋体" w:cs="宋体"/>
                <w:i w:val="0"/>
                <w:iCs w:val="0"/>
                <w:color w:val="000000"/>
                <w:sz w:val="22"/>
                <w:szCs w:val="22"/>
                <w:u w:val="none"/>
                <w:lang w:val="en-US" w:eastAsia="zh-CN" w:bidi="ar"/>
              </w:rPr>
            </w:r>
            <w:r/>
          </w:p>
          <w:p>
            <w:pPr>
              <w:pStyle w:val="663"/>
              <w:numPr>
                <w:ilvl w:val="0"/>
                <w:numId w:val="0"/>
              </w:numPr>
              <w:ind w:left="0" w:firstLine="0"/>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3.组合连接杆：通过杆头螺纹口延长连接，可现场灵活组合相配套破拆工具使用。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水平仪：测量水平。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配备一个能容纳所有工具的装备箱。</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绝缘剪断钳</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1.尺寸大于24寸，重量≤2kg，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2.最大剪切线缆12mm，特性剪刃口硬度HRC55—60，材质绝缘剪柄（橡胶）耐电压5000V</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5"/>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无火花工具</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铜合金制成。符合GB10686-2013《铜合金工具防爆性能试验方法》标准要求。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配置明细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1.活动扳手各≥1把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2.防爆呆扳手≥ 3把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3.防爆梅花扳手≥3把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4.大、小十字螺丝刀各≥1把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5.大、小一字螺丝刀各≥1把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6.防爆管钳≥1把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7.F-扳手≥1把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8.平口扁铲≥1把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9.尖头錾子≥1把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10.平头錾子≥1把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11.木炳铜丝刷≥1把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12.克丝钳≥1把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13.尖嘴钳≥1把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14.手锯≥1把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15.圆头锤≥1把</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多功能刀具</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1.打开：16.1*6.2*2cm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2.闭合：10.5*3.8*2cm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3.重量：≤280g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4.5CR15刀刃+3CR13部件+2CR13钳头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5.不锈钢手柄</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6.喷砂部件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7.喷砂手柄</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8.尖头钳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9.常规钳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10.剪线钳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11.小刀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12.锯子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13.锉子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14.5mm大一字螺丝批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15.剪刀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16.4mm中号一字螺丝批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17.开罐器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18.开瓶器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19.3mm小一字螺丝批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20.割绳器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21.打孔器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22.十字螺丝批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23.尺子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24.皮带夹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25.套筒+11*螺丝(H2,H3,H4,H5,H6（六角）；3,5,7（一字螺丝批）；PH1,PH2,PH3（十字螺丝批）</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戒指角磨机</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1.适用于应急救援现场的小型金属、非金属圈、环的切割；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2.充电式电机，电压3.6V，电量1.5AH，带有电源开关，正/反转功能，带有USB充电线，电机扭矩0.2-5牛，电机具有保护功能。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3.配有万向软轴，可在狭小特殊空间实现≥200mm距离切割，可360°万向切割。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4.锯片直径：≥25mm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5.重量：≤2.5KG（含所有配件）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6.时间：1mm戒指，5秒钟内完成。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7.每套配备：合金锯片2张、训练戒指1套、训练假手指1根、固定夹具1套、消毒液1瓶、卡簧钳1个，润滑脂1盒。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8.专用储运箱，中文使用维护保养说明书或U光盘。</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毁锁器</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根据国内各种型号门锁以及各种型号锁芯，选用不低于40cr钢材料制造专用工具，在不损坏防盗门整体结构用于拆卸门锁面板及锁芯，携带方便操作简单快速，可实现15-40s时间内拆卸面板扭断锁芯将防盗门打开，开启90%以上的家用防盗门，搭配辅助工具可以实现开启98%以上的防盗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拆锁夹设计及配置：夹口设计C型咬合口（可调节大小、拆卸面板、拆卸锁芯），内侧设计凹型（拆卸面板起到防滑作用）手柄设计两个U型口（一个为固定型、U型口用于拆卸、全铜锁芯、带钢梁锁芯、全钢锁芯）另一个U型口设计（快拆式螺丝刀、U型口用于拆卸全铜锁芯、螺丝刀头部用于多角度拨动锁体）螺丝刀前端设计不小于8mm平口型，用于转动带钢梁锁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3.配置：电动扳手、手动扳手、宝塔钻头、强开磨具（十字、C级、王力、安防、锁芯强开磨具）、工具箱、透明训练锁具一套。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4.充电式电动扳手：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夹头类型：1/2“方头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转速1/冲击频率1：不小于0-700/0-1400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转速2/冲击频率2：不小于0-1600/0-2200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转速3冲击频率3：不小于0-2800/0-3600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最大扭矩：不小于300NM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电池容量：不小于2.0Ah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充电时间：不大于70min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重量：不大于1.4kg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电池包数量：不小于1。</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工具箱尺寸：不大于558*261*100mm、7kg。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透明训练锁具：利用透明硬质塑料板及防盗门锁制作小型模拟防盗门开锁训练器材。</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ind w:right="0"/>
              <w:jc w:val="left"/>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1.符合GB27900-2011《消防员呼救器》要求；</w:t>
            </w:r>
            <w:r>
              <w:rPr>
                <w:rFonts w:hint="eastAsia" w:ascii="宋体" w:hAnsi="宋体" w:eastAsia="宋体" w:cs="宋体"/>
                <w:i w:val="0"/>
                <w:iCs w:val="0"/>
                <w:color w:val="000000"/>
                <w:sz w:val="21"/>
                <w:szCs w:val="21"/>
                <w:u w:val="none"/>
                <w:lang w:val="en-US" w:eastAsia="zh-CN" w:bidi="ar"/>
              </w:rPr>
            </w:r>
            <w:r/>
          </w:p>
          <w:p>
            <w:pPr>
              <w:pStyle w:val="663"/>
              <w:numPr>
                <w:ilvl w:val="0"/>
                <w:numId w:val="0"/>
              </w:numPr>
              <w:ind w:right="0"/>
              <w:jc w:val="left"/>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集呼救器、方位指示灯、温度显示、海拔高度定位、定位互救、无线通信于一体。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3.使用可标注姓名的钥匙开、关机，开机后钥匙保存于后场，可代替现场身份登记。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4.液晶显示重要信息，实时显示工作时间、电池电量、环境温度等信息。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5.具备计时提醒功能，开机15分钟后开始提醒，之后每5分钟提醒一次。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6.具备预报警功能、自动报警功能、手动报警功能和低电压警告功能。</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right="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7.消防员呼救器需具有电池电量检测、显示功能，当电池电量不足时会发出低电量报警。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8.采用免维护高性能防爆锂电池，连续报警时间≥945min，连续工作时间≥24小时。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9.具有温度传感报警，可实时显示环境温度，温度高于设定阈值（80℃）自动报警；可自行设定报警温度为四级。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10.呼救器可进行相互监控，当呼救器出现强报警或手动报警时，其它呼救器有声、光报警；每只呼救器显示报警呼救器（战斗员）的编号。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11.消防员呼救器需具有相对定位搜救功能，可根据同组报警呼救器的信号强度判断搜救方向以及与被搜救者的楼层高度信息。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12.消防员呼救器具有后场软件，可以在手机上登录查看呼救器的基本信息。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13.支持扩展功能：可无线连接心率监测手环、智能电子压力表，屏幕可实时显示空呼压力和动态剩余时间。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14.支持呼救器场外指挥控制管理，支持4G/5G传输数据与消防员呼救器后场接收装置无线连接。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15.支持内置定位功能，可在后场指挥中心实时显示GIS地图位置信息。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16.整机重量≤230g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17.频率误差：发射频率不应大于±1kHz</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▲18.频率稳定度：不大于±2.1*10-6</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19.接收灵敏度≤0.28uV</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▲20.通信距离≥3000m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21.预报警声级强度≥103dB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22.报警声级强度≥105dB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23.低电压告警声级强度≥85dB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24.发射功率</w:t>
            </w:r>
            <w:r>
              <w:rPr>
                <w:rFonts w:hint="eastAsia" w:ascii="宋体" w:hAnsi="宋体" w:eastAsia="宋体" w:cs="宋体"/>
                <w:i w:val="0"/>
                <w:iCs w:val="0"/>
                <w:color w:val="000000"/>
                <w:sz w:val="22"/>
                <w:szCs w:val="22"/>
                <w:highlight w:val="none"/>
                <w:u w:val="none"/>
                <w:lang w:val="en-US" w:eastAsia="zh-CN" w:bidi="ar"/>
              </w:rPr>
              <w:t xml:space="preserve">≤30dBm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25.具有≥4颗灯的手电筒（辅助照明）功能，在黑暗环境下可提供辅助照明功能。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26.防护等级：IP68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27.本质安全型，防爆等级不低于EX ib IIC T4 Gb</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消防员呼救器后场接收装置 </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6"/>
              </w:numPr>
              <w:jc w:val="left"/>
              <w:keepLines w:val="0"/>
              <w:keepNext w:val="0"/>
              <w:widowControl/>
              <w:tabs>
                <w:tab w:val="left" w:pos="312"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结构组成：呼救器、含天线、液晶屏、触摸笔1支、充电器2个、车载充电器1个、内置电池。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2.主要应用场景：消防员进入内攻现场使用。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外观及结构：外观整洁，表面无毛刺、划痕、裂纹、变形，表面涂层无气泡、龟裂、脱落，金属零件无锈蚀和机械损伤。产品结构牢固、可靠、安全、便于安装。开关、按键、旋钮的操作灵活可靠，外接附件的接入接触良好、紧固不易松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消防员呼救器后场接收装置功能：将身份识别卡放在刷卡区域，在消防员呼救器后场接收装置系统中能写入身份识别卡信息，能正确读出写好后的每张身份识别卡信息：每组能连接8个人，最多能连接5组40人，能向每个人员</w:t>
            </w:r>
            <w:r>
              <w:rPr>
                <w:rFonts w:hint="eastAsia" w:ascii="宋体" w:hAnsi="宋体" w:eastAsia="宋体" w:cs="宋体"/>
                <w:i w:val="0"/>
                <w:iCs w:val="0"/>
                <w:color w:val="000000"/>
                <w:sz w:val="22"/>
                <w:szCs w:val="22"/>
                <w:u w:val="none"/>
                <w:lang w:val="en-US" w:eastAsia="zh-CN" w:bidi="ar"/>
              </w:rPr>
              <w:t xml:space="preserve">发送撤离命令，每个人员能在2秒内接收到撤离指令，能向所有人员下发撤离命令，所有人员能在2秒内收到撤离命令：指挥员能对某一人发出巡查指令，APP上对应的人处于黄色闪动状态，消防员呼救器有回应显示，主机收到应答信号，APP上黄色闪动的人恢复正常，处于蓝色运动状态；指挥员能对全体人员发出巡查指令，APP上的人处于黄色闪动状态，消防员呼救器有回应显示，主机收到应答信号，APP上黄色闪动的人恢复正常，处于蓝色运动状态；能实时显示消防员呼救器相对于消防员呼救器后场接收装置的高度，消防员呼救器后场接收装置可以校准消防员呼</w:t>
            </w:r>
            <w:r>
              <w:rPr>
                <w:rFonts w:hint="eastAsia" w:ascii="宋体" w:hAnsi="宋体" w:eastAsia="宋体" w:cs="宋体"/>
                <w:i w:val="0"/>
                <w:iCs w:val="0"/>
                <w:color w:val="000000"/>
                <w:sz w:val="22"/>
                <w:szCs w:val="22"/>
                <w:u w:val="none"/>
                <w:lang w:val="en-US" w:eastAsia="zh-CN" w:bidi="ar"/>
              </w:rPr>
              <w:t xml:space="preserve">救器的初始高度值为“0：系统进入分组设置界面能进行编组；分组后，综合显示以小组为单位显示，能下发“全组撤退”指令及“全体撤退”指令：综合显示中，能识别每个在线人员的信号、状态、组别、空呼气压、剩余工作时间、心率、环境参数（环境温度、气体含量）、高度、运动状态（正常运动状态、跌倒预报警状态、跌倒连续报警状态）、呼救器电量工作状态的实时状态；消防员呼救器后场接收装置能录入和编辑40个人员的中文或英文实名；进入系统设置界面能查看每个呼救器的工作历史数据。消防员呼救器后场接收装置采用通信指挥、集中充电为一体的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▲5.传输距离：消防员呼救器与消防员呼救器后场接收装置之间的传输距（空旷地带，无中继）</w:t>
            </w:r>
            <w:r>
              <w:rPr>
                <w:rFonts w:hint="eastAsia" w:ascii="宋体" w:hAnsi="宋体" w:eastAsia="宋体" w:cs="宋体"/>
                <w:i w:val="0"/>
                <w:iCs w:val="0"/>
                <w:color w:val="000000"/>
                <w:sz w:val="22"/>
                <w:szCs w:val="22"/>
                <w:highlight w:val="none"/>
                <w:u w:val="none"/>
                <w:lang w:val="en-US" w:eastAsia="zh-CN" w:bidi="ar"/>
              </w:rPr>
              <w:t xml:space="preserve">≥3km</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6.连续工作时间 h：＞10</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7.高温（运行）试验：温度60℃，持续时间：2h，状态；工作。试验中及试验后能正常工作。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▲8.低温（运行）试验：温度：-25℃，持续时间：2h，状态；工作。试验中及试验后能正常工作。</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9.高温贮存试验：温度：70℃，持续时间：24h，恢复时间：12h，状态：非工作。试验后能正常工作。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10.低温贮存试验温度：-40℃，持续时间：24h，恢复时间：12h，状态，非工作。试验后能正常工作。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13、交变湿热试验：①温度：（25 士 3）℃～（40 士 2）℃，湿度：95%～100%，持续时间：3h，②温度：（40±2）℃，湿度：（93 士 3）%，持续时间：9h,③温度：（40 士 2）～（25±3）℃，湿度：95%～100%，持续时间：12h,状态：非工作。试验后能正常工作。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11.自由跌落试验：跌落高度：0.6m，跌落方向：3轴线方向，每轴向次数：1次，状态：非工作。试验后，功能正常，壳体完好。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12.外壳防护等级≥IP67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13.振动试验：频率范围：（10～150）Hz，加速度幅值：1g，扫描速率：1（倍频程/min）,3 轴线方向，每轴线循环20次，状态：非工作。试验后能正常工作。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14.绝缘电阻：在正常使用环境条件下，消防员呼救器后场接收装置正负电极与外壳之间：&gt;550MΩ，湿热试验后，消防员呼救器后场接收装置正负电极与外壳之间：55OMΩ。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15.静电放电抗扰度试验：接触放电：4kV，空气放电：8kV，状态：工作。试验后能正常工作。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16.射频电磁场辐射抗扰度试验：频率范围：8OMHz1GHz，场强：10V/m，调制幅度：80%(1KHz，正弦）,状态：工作。试验中功能正常。</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一级化学防护服</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1.符合XF770-2008《消防员化学防护服装》要求。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2.产品认证实施规则：CCCF-CPRZ-27:2019。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3.全套服装采用全密封连体式结构，由大视窗的连体头罩、化学防护服、呼吸器背囊、空呼保护垫、防护手套、防护靴、排气阀、通风系统分配阀及通气管路等部分组成。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面料采用内外对称结构、高阻隔多元共混橡胶制作而成，具有广谱高效的化学防化性能和耐热老化、低温柔软等性能。阻燃性能好，遇火只产生炭化，不熔滴。为可重复使用的化学防护服。防化服接缝处采用内外双层防化贴条处理，超声波焊接及热风加强型接缝设计，界面无缝贴附融为一体，有效提高防护性能。内部设计通风排湿系统。</w:t>
            </w:r>
            <w:r/>
          </w:p>
          <w:p>
            <w:pPr>
              <w:pStyle w:val="663"/>
              <w:numPr>
                <w:ilvl w:val="0"/>
                <w:numId w:val="0"/>
              </w:numPr>
              <w:jc w:val="left"/>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▲5.整体气密性/Pa：≤300；贴条的粘附强度/kN/m：≥0.78；超压排气阀：气密性/s：≥15；通气阻力/Pa：78～118；通风系统分配阀：定量供气量5±1L/min，手控最大供气量≥30L/min；整套重量≤8kg。</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6.面料性能：阻燃性能，有焰燃烧时间≤3s，无焰燃烧时间≤1s，经纬向损毁长度≤8cm；经纬向拉伸强度≥25kN/m；经纬向撕裂强力≥110N；接缝强力≥1000N；耐热老化性能（125℃×24h）不粘、不脆。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7.化学防护手套耐热老化性能（125℃×24h）：不粘、不脆；耐寒性能：无裂纹；耐刺穿力≥25N；手套灵巧性能≥5级；可拆卸更换。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化学防护靴采用航空铝包头结构，具有抗砸、防穿刺性能，可拆卸更换。靴底抗刺穿力≥2000N；电绝缘性能：击穿电压≥5000V，泄露电流≤0.5mA；防滑性能：始滑角≥15°；防砸性能：静压力试验和冲击试验后间隙高度≥18mm。</w:t>
            </w:r>
            <w:r/>
          </w:p>
          <w:p>
            <w:pPr>
              <w:pStyle w:val="663"/>
              <w:numPr>
                <w:ilvl w:val="0"/>
                <w:numId w:val="0"/>
              </w:numPr>
              <w:ind w:left="0" w:firstLine="0"/>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9.面料及其接缝部位、化学防护手套、化学防护靴、大视窗连体头罩抗化学品渗透性能：渗透时间/min：二甲基硫酸盐≥70min、氨气≥70min、氯气≥70min、氰氯化物≥70min、羰基氯化物≥70min、氢氰化物≥70min。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大视窗面屏采用高强耐冲击透明工程材料制作，双层结构防雾保明设计，内层采用改性纳米技术集成防雾及防化功能于一体，外层面屏为内层面屏保护层，提供耐磨防擦伤功能，可实现长效的防雾保明，方便救援工作。面屏抗刺穿力≥300N。</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90"/>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电绝缘装具</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1.符合DL/T 1125-2009《10KV 带电作业用绝缘服装》标准要求。绝缘靴符合GB21148-2020《足部 安全鞋》标准要求，绝缘手套符合GB/T 17622-2008《带电作业用绝缘手套》标准要求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2.适用于消防员在额定电压为10KV及以下带电类火灾事故现场进行抢险救援时使用的防护服装。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3.电绝缘装具包含电绝缘服、绝缘靴、绝缘手套组成。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4.电绝缘服由三层结构复合制成，外层和里层为阻燃橡胶布、中间层为高分子绝缘膜。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5.电绝缘手套为经特殊处理天然橡胶制成，质地柔软，采用五指设计。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6.电绝缘靴采用高压橡胶制成。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表层拉伸强度：平均值≥20Mpa，最低值≥平均值的95%。表层抗机械刺穿：平均值≥50N，最低值≥平均值的98%。表层抗撕裂：平均值≥150N，最低值≥平均值的98%。电气性能：交流电压以1000V/S的速度上升至20KV，保持1min后，应无闪络、击穿、发热现象。绝缘手套耐电压≥12KV。GB</w:t>
            </w:r>
            <w:r>
              <w:rPr>
                <w:rFonts w:hint="eastAsia" w:ascii="宋体" w:hAnsi="宋体" w:cs="宋体"/>
                <w:i w:val="0"/>
                <w:iCs w:val="0"/>
                <w:color w:val="000000"/>
                <w:sz w:val="22"/>
                <w:szCs w:val="22"/>
                <w:u w:val="none"/>
                <w:lang w:val="en-US" w:eastAsia="zh-CN" w:bidi="ar"/>
              </w:rPr>
              <w:t xml:space="preserve">/T </w:t>
            </w:r>
            <w:r>
              <w:rPr>
                <w:rFonts w:hint="eastAsia" w:ascii="宋体" w:hAnsi="宋体" w:eastAsia="宋体" w:cs="宋体"/>
                <w:i w:val="0"/>
                <w:iCs w:val="0"/>
                <w:color w:val="000000"/>
                <w:sz w:val="22"/>
                <w:szCs w:val="22"/>
                <w:u w:val="none"/>
                <w:lang w:val="en-US" w:eastAsia="zh-CN" w:bidi="ar"/>
              </w:rPr>
              <w:t xml:space="preserve">17622-2008《带电作业用绝缘手套》</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绝缘靴耐电压≥25KV。GB21148-2020《足部防护安全鞋》。</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消防用红外热像仪</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1.结构组成：主机，电池2块，充电器，肩带，携行箱等。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2.主要适用场景：消防用红外热像仪能够在黑暗、浓烟环境中人员搜救或火源寻找。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3.符合XF/T 635-2023 《消防用红外热像仪》标准要求。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4.防爆认证等级≥EX ic ⅡC T3 Gc</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5.采样帧速率≥25帧/秒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6.探测器像素：≥380*280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7.工作波段：8μm—14μm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8.一般工作温度：-20℃～+60℃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9.特定工作温度：50℃—260℃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10.工作环境湿度：≤95%（40℃）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11.存贮环境温度：-40℃～+70℃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显示功能：具有白热、黑热、搜救、热扫描、可见光、标准模式、火场、冷驱扫描等，≥8种。具有温度测量值、电池耗量、温度标尺,超温、拍照或摄像状态显示功能低电量报警功能：应具有声或光报警或低电量提示功能，图像降噪功能，拍照或摄像及存储功能，照片或录像的回放功能，单点或多点温度显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13.操作提示功能：具备中文的操作菜单或提示功能。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14.质量：≤2kg（包括电池）</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15.空间分辨力：≤3mrad</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16.噪声等效温差（NETD）：≤50mK</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17.测温范围：-20℃～1000℃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18.测温精度：在100℃以内（包含100℃）应控制在±2℃以内（包含±2 ℃）,在 100℃以上应控制在测量值（℃）的±2%以内（包含±2%）。</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19.温度漂移：在不同环境温度工作时对黑体温度测量值的漂移量≤2 ℃（黑体设定温度不大于100℃时）或黑体设定温度的2%（黑体设定温度大于100℃时）。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20.连续稳定工作时间：≥2h。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▲21.特定环境温度持续工作时间：80℃时≥30min，120℃时≥10min，260℃时≥5min。</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22.抗跌落性能：以三个方向（*、Y、Z）从1米高度自由跌落到混凝土地面一次后可正常工作（外壳配件可更换）。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23.外壳防护等级：≥IP67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24.显示屏≥3.5英寸，支持屏幕亮度自动调节。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25.存储功能：支持在本机实时查看拍摄保存的图片和视频。</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26.具有工作指示灯功能、激光指示功能。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27.具备最高温、最低温和中心点测温功能；具备冷热点追踪功能，全屏最高温及最低温自动指针搜寻功能，可同时显示最高及最低温度。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28.供电方式：锂电池供电，主机具备电量显示功能，为保证续航，配备2块电池，单块电池工作时间：≥5h。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29.配有加速度传感器，待机状态下，轻触机身可快速复位。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30.视场角：水平方向≥ 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31.可存储2000张图片和10小时视频。</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消防水带65mm</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，内径≥63.5mm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5.单位长度质量≤234g/m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6.工作压力：1.6MPa，爆破压力≥5.48MPa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7.延伸率≤1.6%，膨胀率≤4.6%</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▲8.水带织物层与衬里之间的附着强度≥70N/25mm。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9.扯断伸长率≥463%，扯断强度≥51.5MPa。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11.每盘水带接口处绑扎不少于5道*3道铁丝，测试压力32公斤时不脱口、不渗漏。水带和接口捆绑处有专用的保护套保护。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常压80mm水带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7"/>
              </w:numPr>
              <w:jc w:val="left"/>
              <w:keepLines w:val="0"/>
              <w:keepNext w:val="0"/>
              <w:widowControl/>
              <w:tabs>
                <w:tab w:val="left" w:pos="31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numPr>
                <w:ilvl w:val="0"/>
                <w:numId w:val="0"/>
              </w:numPr>
              <w:ind w:left="0" w:firstLine="0"/>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，内径≥76mm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5.单位长度质量≤300g/m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6.工作压力：1.6MPa，</w:t>
            </w:r>
            <w:r>
              <w:rPr>
                <w:rFonts w:hint="eastAsia" w:ascii="宋体" w:hAnsi="宋体" w:eastAsia="宋体" w:cs="宋体"/>
                <w:i w:val="0"/>
                <w:iCs w:val="0"/>
                <w:color w:val="000000"/>
                <w:sz w:val="22"/>
                <w:szCs w:val="22"/>
                <w:highlight w:val="none"/>
                <w:u w:val="none"/>
                <w:lang w:val="en-US" w:eastAsia="zh-CN" w:bidi="ar"/>
              </w:rPr>
              <w:t xml:space="preserve">爆破压力≥6.8MPa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7.延伸率≤2.4%，膨胀率≤4.7%</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▲8.水带织物层与衬里之间的附着强度≥71N/25mm。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9.扯断伸长率≥455.9%，扯断强度≥54.4MPa。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11.每盘水带接口处绑扎不少于5道*3道铁丝，测试压力24公斤时不脱口、不渗漏。水带和接口捆绑处有专用的保护套保护。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高压80mm水带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3.衬里采用进口聚氨酯制作而成。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内径≥76mm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5.单位长度质量≤348g/m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6.工作压力：2.0MPa，</w:t>
            </w:r>
            <w:r>
              <w:rPr>
                <w:rFonts w:hint="eastAsia" w:ascii="宋体" w:hAnsi="宋体" w:eastAsia="宋体" w:cs="宋体"/>
                <w:i w:val="0"/>
                <w:iCs w:val="0"/>
                <w:color w:val="000000"/>
                <w:sz w:val="22"/>
                <w:szCs w:val="22"/>
                <w:highlight w:val="none"/>
                <w:u w:val="none"/>
                <w:lang w:val="en-US" w:eastAsia="zh-CN" w:bidi="ar"/>
              </w:rPr>
              <w:t xml:space="preserve">爆破压力≥7.6MPa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7.延伸率≤2.9%，膨胀率≤5.9%</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▲8.水带织物层与衬里之间的附着强度≥71N/25mm。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 扯断伸长率≥458.4%，扯断强度≥55.8MPa。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10.接口的弹簧疲劳寿命大于10000次以上，在3.0MPa水压下不应发生渗漏现象。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11.每盘水带接口处绑扎不少于5道*3道铁丝，测试压力24公斤时不脱口、不渗漏。水带和接口捆绑处有专用的保护套保护。</w:t>
            </w:r>
            <w:r>
              <w:rPr>
                <w:rFonts w:hint="eastAsia" w:ascii="宋体" w:hAnsi="宋体" w:eastAsia="宋体" w:cs="宋体"/>
                <w:sz w:val="21"/>
                <w:szCs w:val="21"/>
                <w:vertAlign w:val="baseline"/>
                <w:lang w:val="en-US" w:eastAsia="zh-CN" w:bidi="ar-SA"/>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常压40mm水带</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1.水带符合 GB 6246—2011《消防水带》标准要求。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2.采用高强度涤纶长丝进行斜纹圆织工艺编织。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3.衬里采用聚氨酯制作而成。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4.单位长度：≥20m 内径：≥38mm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5.单位长度质量≤167g/m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6.工作压力：2.5MPa，爆破压力≥9.3MPa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7.轴向延伸率≤0.9%，直径膨胀率≤5%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▲8.水带织物层与衬里之间的附着强度≥75N/25mm。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9.水带扯断伸长率≥486%，水带扯断强度≥57MPa</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10.接口采用铝合金锻造而成的卡式快速接口。</w:t>
            </w:r>
            <w:r>
              <w:rPr>
                <w:rFonts w:hint="eastAsia" w:ascii="宋体" w:hAnsi="宋体" w:eastAsia="宋体" w:cs="宋体"/>
                <w:sz w:val="21"/>
                <w:szCs w:val="21"/>
                <w:vertAlign w:val="baseline"/>
                <w:lang w:val="en-US" w:eastAsia="zh-CN" w:bidi="ar-SA"/>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直流水枪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1.水枪符合GB 8181-2005《消防水枪》标准要求。</w:t>
            </w:r>
            <w:r>
              <w:rPr>
                <w:rFonts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枪管采用高强度铝镁合金锻造成型，选用铝镁合金A6061材质，材料经高温热处理使材质性能达到最优，表面黑色硬质氧化防腐处理。阀体：采用压铸工艺，选用YL112材质。手柄：采用锻造工艺，选用铝镁合金A6061材质</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表面阳极氧化防腐处理带有蓝色保护胶套。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3.用于扑救一般固体物质火灾，以及可以使用A类泡沫灭火时的辅助冷却等。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4.进水口为 65 快速接口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5.每分钟出水流量≥7.0(L/s)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6.重量≤7</w:t>
            </w:r>
            <w:r>
              <w:rPr>
                <w:rFonts w:hint="eastAsia" w:ascii="宋体" w:hAnsi="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t xml:space="preserve">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7.开关力矩≤4.0N/m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8.射程≥32米。</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浮挺泵</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1.浮艇泵符合GB6245-2006《消防泵》要求。 </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2.浮挺泵配有四个集成手柄使泵便于搬运，也可用于拴绑固定绳索，防止泵漂走；</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3.发动机类型：功率≥4.0kW，单杠、风冷、四冲程，最大扬程≥30米，最大流量≥1200升/分钟。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4.额定流量≥10.0L/s，额定压力≥0.150MPa，最大流量≥20.0L/s。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5.吸水口：带有可拆卸不锈钢滤网，可过滤直径大于10毫米的异物。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6.出水口：1个，直径≥65。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7.自带油箱容量≥1.0升，附加油箱容量≥3.8升；</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8.设备尺寸≤720*620*410mm，净重≤25公斤。</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vMerge w:val="restart"/>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sz w:val="21"/>
                <w:szCs w:val="21"/>
                <w:vertAlign w:val="baseline"/>
              </w:rPr>
            </w:r>
            <w:r/>
          </w:p>
        </w:tc>
        <w:tc>
          <w:tcPr>
            <w:tcW w:w="1125" w:type="dxa"/>
            <w:vAlign w:val="center"/>
            <w:vMerge w:val="restart"/>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多功能消防水枪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65口径多功能水枪</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1.流量：10升/秒（600升/分）。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2.具有直流/开花/喷雾功能，最大喷雾角不小于120°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▲3.5档出水流量调节，分别是（2.5-4-6.5-8-10）升/秒；</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4.具备冲洗功能，使用后调至冲洗档位即可对消防枪内部进行冲洗。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5.消防枪配置旋转雾化齿，工作时雾化齿360°不间断旋转切割水雾，增大灭火面积，提高降温速度，达到最佳灭火效果。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6.操作简便，只需要转动枪头90°即可实现从直流到喷雾的完全切换。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7.枪头上配有人体工程学凸点，既便于工作模式切换，也保证即使在视线不好时，也知道水枪的实时工作状态，凸点向上表示直流位置。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8.采用U型手柄，工程材质球阀开关，有一定的自修复功能。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9.水带接口可以360°无限旋转，有效防止水带打结。</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65口径</w:t>
            </w:r>
            <w:r>
              <w:rPr>
                <w:rFonts w:hint="eastAsia" w:ascii="宋体" w:hAnsi="宋体" w:eastAsia="宋体" w:cs="宋体"/>
                <w:i w:val="0"/>
                <w:iCs w:val="0"/>
                <w:color w:val="000000"/>
                <w:sz w:val="21"/>
                <w:szCs w:val="21"/>
                <w:u w:val="none"/>
                <w:lang w:val="en-US" w:eastAsia="zh-CN" w:bidi="ar"/>
              </w:rPr>
            </w:r>
            <w:r/>
          </w:p>
        </w:tc>
      </w:tr>
      <w:tr>
        <w:trPr/>
        <w:tc>
          <w:tcPr>
            <w:tcW w:w="864" w:type="dxa"/>
            <w:vAlign w:val="center"/>
            <w:vMerge w:val="continue"/>
            <w:textDirection w:val="lrTb"/>
            <w:noWrap w:val="false"/>
          </w:tcPr>
          <w:p>
            <w:pPr>
              <w:pStyle w:val="663"/>
              <w:ind w:left="0" w:right="0" w:firstLine="0"/>
              <w:jc w:val="center"/>
              <w:keepLines w:val="0"/>
              <w:keepNext/>
              <w:pageBreakBefore w:val="0"/>
              <w:spacing w:line="360" w:lineRule="exact"/>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125" w:type="dxa"/>
            <w:vAlign w:val="center"/>
            <w:vMerge w:val="continue"/>
            <w:textDirection w:val="lrTb"/>
            <w:noWrap w:val="false"/>
          </w:tcPr>
          <w:p>
            <w:pPr>
              <w:pStyle w:val="663"/>
              <w:ind w:left="0" w:right="0" w:firstLine="0"/>
              <w:jc w:val="left"/>
              <w:keepLines w:val="0"/>
              <w:keepNext/>
              <w:pageBreakBefore w:val="0"/>
              <w:spacing w:line="360" w:lineRule="exact"/>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40口径多功能水枪：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1.水带连接接口可为 40内扣/65 快速等多种接口。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2.在喷射压力为6公斤时，射程为 28 米，流量挡位为2档：2.5/4.0L/S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3.喷雾角最小调节范围（°）0～120</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4.枪头喷射模式可通过旋转枪头调节直流，半喷雾，喷雾。</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40口径</w:t>
            </w: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空气充填泵</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1.供气量：≥320L/min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2.压缩级数：3级压缩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3.电机功率：≤7.5kW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4.充气压力：≥320BAR</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5.二级独立式油水分离器。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t xml:space="preserve">对压缩机的气体中含有氧气、一氧化碳、二氧化碳、露点、油雾气与颗粒物、异味的</w:t>
            </w:r>
            <w:r>
              <w:rPr>
                <w:rFonts w:hint="eastAsia" w:ascii="宋体" w:hAnsi="宋体" w:eastAsia="宋体" w:cs="宋体"/>
                <w:i w:val="0"/>
                <w:iCs w:val="0"/>
                <w:color w:val="000000"/>
                <w:sz w:val="22"/>
                <w:szCs w:val="22"/>
                <w:highlight w:val="none"/>
                <w:u w:val="none"/>
                <w:lang w:val="en-US" w:eastAsia="zh-CN" w:bidi="ar"/>
              </w:rPr>
              <w:t xml:space="preserve">空气质量符合GB/T31975-2015</w:t>
            </w:r>
            <w:r>
              <w:rPr>
                <w:rFonts w:hint="eastAsia" w:ascii="宋体" w:hAnsi="宋体" w:cs="宋体"/>
                <w:i w:val="0"/>
                <w:iCs w:val="0"/>
                <w:color w:val="000000"/>
                <w:sz w:val="22"/>
                <w:szCs w:val="22"/>
                <w:highlight w:val="none"/>
                <w:u w:val="none"/>
                <w:lang w:val="en-US" w:eastAsia="zh-CN" w:bidi="ar"/>
              </w:rPr>
              <w:t xml:space="preserve">要求</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7.两个级间安全阀，一个末级安全阀，避免超压使用，末级安全阀可以通过旋钮式调压方式设定充气压力。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8.采用PLC控制及触摸屏显示，中文操作界面，全自动控制功能，软件管理。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9.具有智能型模块化充气管理软件：人员管理/充气管理/气瓶管理/压缩机管理/输出管理，</w:t>
            </w:r>
            <w:r>
              <w:rPr>
                <w:rFonts w:hint="eastAsia" w:ascii="宋体" w:hAnsi="宋体" w:cs="宋体"/>
                <w:i w:val="0"/>
                <w:iCs w:val="0"/>
                <w:color w:val="000000"/>
                <w:sz w:val="22"/>
                <w:szCs w:val="22"/>
                <w:highlight w:val="none"/>
                <w:u w:val="none"/>
                <w:lang w:val="en-US" w:eastAsia="zh-CN" w:bidi="ar"/>
              </w:rPr>
              <w:t xml:space="preserve">远程</w:t>
            </w:r>
            <w:r>
              <w:rPr>
                <w:rFonts w:hint="eastAsia" w:ascii="宋体" w:hAnsi="宋体" w:eastAsia="宋体" w:cs="宋体"/>
                <w:i w:val="0"/>
                <w:iCs w:val="0"/>
                <w:color w:val="000000"/>
                <w:sz w:val="22"/>
                <w:szCs w:val="22"/>
                <w:highlight w:val="none"/>
                <w:u w:val="none"/>
                <w:lang w:val="en-US" w:eastAsia="zh-CN" w:bidi="ar"/>
              </w:rPr>
              <w:t xml:space="preserve">数据化。</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lang w:val="en-US" w:eastAsia="zh-CN" w:bidi="ar"/>
              </w:rPr>
              <w:t xml:space="preserve">）人员管理模块：实现具有资质充气人员的资质管理和充气人员权限管理，登录操作界面可以通过打卡、刷脸、指纹或者密码方式进入，其他人员不能随意登录。</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2"/>
                <w:szCs w:val="22"/>
                <w:highlight w:val="none"/>
                <w:u w:val="none"/>
                <w:lang w:val="en-US" w:eastAsia="zh-CN" w:bidi="ar"/>
              </w:rPr>
              <w:t xml:space="preserve">）充气管理模块：应能实现管理软件判定不合格气瓶及违规充气数据化记录，应能为合规化充气管理提供溯源性数据记录。</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2"/>
                <w:szCs w:val="22"/>
                <w:highlight w:val="none"/>
                <w:u w:val="none"/>
                <w:lang w:val="en-US" w:eastAsia="zh-CN" w:bidi="ar"/>
              </w:rPr>
              <w:t xml:space="preserve">）气瓶管理模块：实现了气瓶出厂年限、水压检测周期、保管人员、所属站室存放的数字化管理，气瓶电子标签通过RFID自动扫描识别，管理软件自动逻辑判断气瓶充气的合格性，为合规化充气管理提供溯源数据，同时具有气瓶水压检测到期提醒功能。</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2"/>
                <w:szCs w:val="22"/>
                <w:highlight w:val="none"/>
                <w:u w:val="none"/>
                <w:lang w:val="en-US" w:eastAsia="zh-CN" w:bidi="ar"/>
              </w:rPr>
              <w:t xml:space="preserve">）压缩机管理模块：采用西门子PLC控制功能，中文操作界面，对压缩机具有运行数据显示、设定和保护模块。</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2"/>
                <w:szCs w:val="22"/>
                <w:highlight w:val="none"/>
                <w:u w:val="none"/>
                <w:lang w:val="en-US" w:eastAsia="zh-CN" w:bidi="ar"/>
              </w:rPr>
              <w:t xml:space="preserve">）输出管理模块：应具有报警数据自动打印输出和短信或微信提醒功能，每只气瓶充气完毕后应具有充气人员信息、充气时间和水压试验周期信息标签打印功能，同时具有查询功能。</w:t>
            </w: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9.6</w:t>
            </w:r>
            <w:r>
              <w:rPr>
                <w:rFonts w:hint="eastAsia" w:ascii="宋体" w:hAnsi="宋体" w:eastAsia="宋体" w:cs="宋体"/>
                <w:i w:val="0"/>
                <w:iCs w:val="0"/>
                <w:color w:val="000000"/>
                <w:sz w:val="22"/>
                <w:szCs w:val="22"/>
                <w:highlight w:val="none"/>
                <w:u w:val="none"/>
                <w:lang w:val="en-US" w:eastAsia="zh-CN" w:bidi="ar"/>
              </w:rPr>
              <w:t xml:space="preserve">）远传功能（手机APP或PC端）：由智能物联网触摸屏通过WIFI远传到APP，可通过手机（电脑）操作、显示界面与触控屏操作同步进行远程操控。</w:t>
            </w:r>
            <w:r>
              <w:rPr>
                <w:rFonts w:hint="eastAsia" w:ascii="宋体" w:hAnsi="宋体" w:eastAsia="宋体" w:cs="宋体"/>
                <w:i w:val="0"/>
                <w:iCs w:val="0"/>
                <w:color w:val="000000"/>
                <w:sz w:val="22"/>
                <w:szCs w:val="22"/>
                <w:highlight w:val="none"/>
                <w:u w:val="none"/>
                <w:lang w:val="en-US" w:eastAsia="zh-CN" w:bidi="ar"/>
              </w:rPr>
            </w:r>
            <w:r/>
          </w:p>
          <w:p>
            <w:pPr>
              <w:pStyle w:val="663"/>
              <w:numPr>
                <w:ilvl w:val="0"/>
                <w:numId w:val="0"/>
              </w:numPr>
              <w:ind w:left="0" w:firstLine="0"/>
              <w:jc w:val="left"/>
              <w:keepLines w:val="0"/>
              <w:keepNext w:val="0"/>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（提供机器管理软件模块管理界面截图）</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10.两工位防爆箱采用双层结构：外箱采用双层5mm钢板制成，内箱中两个碳纤维瓶放置位置单独隔开，中间采用5mm钢板分割，前侧采用3mm钢板。门采用5mm钢板制成，防爆充气箱和人员间的钢板厚度为10mm。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11.具有开门连锁、关门自锁功能。</w:t>
            </w:r>
            <w:r>
              <w:rPr>
                <w:rFonts w:hint="eastAsia" w:ascii="宋体" w:hAnsi="宋体" w:eastAsia="宋体" w:cs="宋体"/>
                <w:sz w:val="21"/>
                <w:szCs w:val="21"/>
                <w:highlight w:val="none"/>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双轮异向切割锯</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人工操作前端握持手柄和后端开关手柄的间距为350mm-400mm之间。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整机质量≤18kg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破拆性能：切割深度≥110mm；切割速度≥150</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手持式钢筋速断器</w:t>
            </w:r>
            <w:r>
              <w:rPr>
                <w:rFonts w:hint="eastAsia" w:ascii="宋体" w:hAnsi="宋体" w:eastAsia="宋体" w:cs="宋体"/>
                <w:sz w:val="21"/>
                <w:szCs w:val="21"/>
                <w:vertAlign w:val="baseline"/>
              </w:rPr>
            </w:r>
            <w:r/>
          </w:p>
        </w:tc>
        <w:tc>
          <w:tcPr>
            <w:tcW w:w="5383" w:type="dxa"/>
            <w:vAlign w:val="top"/>
            <w:textDirection w:val="lrTb"/>
            <w:noWrap w:val="false"/>
          </w:tcPr>
          <w:p>
            <w:pPr>
              <w:pStyle w:val="663"/>
              <w:jc w:val="left"/>
              <w:keepLines w:val="0"/>
              <w:keepNext w:val="0"/>
              <w:widowControl/>
              <w:rPr>
                <w:rFonts w:ascii="宋体" w:hAnsi="宋体" w:eastAsia="宋体" w:cs="宋体"/>
                <w:sz w:val="21"/>
                <w:szCs w:val="21"/>
                <w:vertAlign w:val="baseline"/>
                <w:lang w:val="en-US"/>
              </w:rPr>
              <w:suppressLineNumbers w:val="0"/>
            </w:pPr>
            <w:r>
              <w:rPr>
                <w:rFonts w:hint="eastAsia" w:ascii="宋体" w:hAnsi="宋体" w:eastAsia="宋体" w:cs="宋体"/>
                <w:i w:val="0"/>
                <w:iCs w:val="0"/>
                <w:color w:val="000000"/>
                <w:sz w:val="22"/>
                <w:szCs w:val="22"/>
                <w:u w:val="none"/>
                <w:lang w:val="en-US" w:eastAsia="zh-CN" w:bidi="ar"/>
              </w:rPr>
              <w:t xml:space="preserve">1.电压≥28V 5.6AH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2.净重≤11.5KG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3.空载功率（W）≥140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4.切断速度：3-5.5S （切25mm钢筋5.5s）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5.开口距离≥27mm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6.最大切割能力：≥20mm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7.最大剪切力≥251KN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8.配备：主机1台、充电器1个、锂电池2块、辅助手柄1个，专用扳手1个、备用油壶1瓶，专用工具箱1个.</w:t>
            </w:r>
            <w:r>
              <w:rPr>
                <w:rFonts w:ascii="宋体" w:hAnsi="宋体" w:eastAsia="宋体" w:cs="宋体"/>
                <w:sz w:val="21"/>
                <w:szCs w:val="21"/>
                <w:vertAlign w:val="baseline"/>
                <w:lang w:val="en-US"/>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声呐探测仪</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1.产品配置高清综合声呐探头，具有下扫/侧扫、传统扫描功能，配有安装套件，可在冲锋舟上安装。提供非常清晰的标。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2.声纳主机液晶触摸屏尺寸≥7英寸，具有多点触摸和按键选择双操作方式。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3.多分屏显示，支持同时查看多个画面，可独立控制，也可任意设置组合界面。</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4.显示水深、水温、量程、时间、定位，2个微型SD数据卡插槽，64G存储内存，支持声呐结构扫描录制，可回放查看分析。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▲5.声呐探测量程：侧扫距离量程深度150m，下扫距离量程深度150m。</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6.内置GPS天线、全球简易海图、显示模式为北向上、GPS警报、航点储存数量5000个、航线储存数量100条。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7.内置1个microSD存储卡槽，最小支持64GB，可查看声呐历史数据回放。</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8.声呐具有导航定位功能及GPS警报功能。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9.配置12V、100AH锂电池电源。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10.整套设备配置专业运输箱，防护指数：IP67,防水、防尘、防震、抗摔。</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11.具有永久性标志及产品数据标识。</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5G单兵</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0"/>
              </w:numPr>
              <w:jc w:val="left"/>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1.结构组成：主机、电池、背夹、数据线、安全箱。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2.主要应用场景：用于消防员灭火救援作业中移动过程中的视频传输。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▲3.要求支持双摄像头采集、双MIC输入、双TF卡存储、双SIM卡传输、双外接天线；</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4.配置要求支持Android11以上操作系统、8核CPU、主频不低于2.6Ghz，RAM≥4GB，ROM≥64GB，外接存储支持2*512GB。</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5.视频压缩支持H.264或H.265，在两种压缩格式下，主副摄像头分辨率要求支持1920*1080、1280*720、640*480，主摄像头水平中心分辨力要求≥1300TVL、副摄像头水平中心分辨力要求≥600TVL，帧率1-30帧可调。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6.支持HDMI外接视频输入，分辨率支持1920*1080、1280*720；支持TYPE-C接口充电及传输数据。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7.屏幕尺寸≥4.6英寸，分辨率不低于720*1280。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8.外壳防护等级支持IP68。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9.支持接入中国移动、中国电信、中国联通4G、5G网络。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▲10.在开机状态下，6min内更换电池设备原工作状态不变，且数据不丢失；</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11.支持裸机跌落，设备开机状态下，在垂直2000mm水泥地面6个面各跌落2次，设备能正常工作。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12.外观尺寸≤180×80×40(mm) ，重量≤460克。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13.支持双码流输出，双码流参数可独立设置。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14.支持红蓝绿三色指示欠压、充电、充满指示，支持低电量报警。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15.支持在联网状态下与平台、其他设备进行群组对讲。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16.支持远程发送文字、图片、语音、视频短片，支持接收远程平台下发的定位及警情信息。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18.具备开关机、旋转、菜单、翻页+/-、PTT、对讲、SOS、拍照、录像、等按键。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★19.可无缝接入江苏省消防救援总队互联网图像管理平台和消防救援局图像综合管理平台。</w:t>
            </w:r>
            <w:r>
              <w:rPr>
                <w:rFonts w:hint="eastAsia" w:ascii="宋体" w:hAnsi="宋体" w:eastAsia="宋体" w:cs="宋体"/>
                <w:b/>
                <w:bCs/>
                <w:i w:val="0"/>
                <w:iCs w:val="0"/>
                <w:color w:val="000000"/>
                <w:sz w:val="22"/>
                <w:szCs w:val="22"/>
                <w:highlight w:val="none"/>
                <w:u w:val="none"/>
                <w:lang w:val="en-US" w:eastAsia="zh-CN" w:bidi="ar"/>
              </w:rPr>
              <w:t xml:space="preserve">（提供承诺书，格式自拟）</w:t>
            </w:r>
            <w:r>
              <w:rPr>
                <w:rFonts w:hint="eastAsia" w:ascii="宋体" w:hAnsi="宋体" w:eastAsia="宋体" w:cs="宋体"/>
                <w:b/>
                <w:bCs/>
                <w:i w:val="0"/>
                <w:iCs w:val="0"/>
                <w:color w:val="000000"/>
                <w:sz w:val="22"/>
                <w:szCs w:val="22"/>
                <w:highlight w:val="none"/>
                <w:u w:val="none"/>
                <w:lang w:val="en-US" w:eastAsia="zh-CN" w:bidi="ar"/>
              </w:rPr>
            </w:r>
            <w:r/>
          </w:p>
          <w:p>
            <w:pPr>
              <w:pStyle w:val="663"/>
              <w:numPr>
                <w:ilvl w:val="0"/>
                <w:numId w:val="0"/>
              </w:num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highlight w:val="none"/>
                <w:u w:val="none"/>
                <w:lang w:val="en-US" w:eastAsia="zh-CN" w:bidi="ar"/>
              </w:rPr>
              <w:t xml:space="preserve">20.设备工作温度-2</w:t>
            </w:r>
            <w:r>
              <w:rPr>
                <w:rFonts w:hint="eastAsia" w:ascii="宋体" w:hAnsi="宋体" w:eastAsia="宋体" w:cs="宋体"/>
                <w:i w:val="0"/>
                <w:iCs w:val="0"/>
                <w:color w:val="000000"/>
                <w:sz w:val="22"/>
                <w:szCs w:val="22"/>
                <w:u w:val="none"/>
                <w:lang w:val="en-US" w:eastAsia="zh-CN" w:bidi="ar"/>
              </w:rPr>
              <w:t xml:space="preserve">0℃至60℃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21.附件包含如下：安全箱；座充（可同时给主机和电池充电）\随主机配备背夹\数据线\天线。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22.持续工作时间不低于6h。</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5G球机</w:t>
            </w:r>
            <w:r>
              <w:rPr>
                <w:rFonts w:hint="eastAsia" w:ascii="宋体" w:hAnsi="宋体" w:eastAsia="宋体" w:cs="宋体"/>
                <w:sz w:val="21"/>
                <w:szCs w:val="21"/>
                <w:vertAlign w:val="baseline"/>
              </w:rPr>
            </w:r>
            <w:r/>
          </w:p>
        </w:tc>
        <w:tc>
          <w:tcPr>
            <w:tcW w:w="5383" w:type="dxa"/>
            <w:vAlign w:val="center"/>
            <w:textDirection w:val="lrTb"/>
            <w:noWrap w:val="false"/>
          </w:tcPr>
          <w:p>
            <w:pPr>
              <w:pStyle w:val="663"/>
              <w:numPr>
                <w:ilvl w:val="0"/>
                <w:numId w:val="8"/>
              </w:numPr>
              <w:jc w:val="left"/>
              <w:keepLines w:val="0"/>
              <w:keepNext w:val="0"/>
              <w:widowControl/>
              <w:tabs>
                <w:tab w:val="left" w:pos="31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结构组成：布控球主机、防护箱、托盘、三脚支架、蓝牙耳机、充电线、球机安全绳、有线手咪和车载充电器。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2.主要应用场景：用于消防员灭火救援作业现场图像实时传输。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3.产品要求具备双电源接口，1报警输入和1报警输出接口，双TF卡，4G+5G卡位，双扬声器、具备debug接口及复位按钮。</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4.支持近距离红外补光，远距离激光补光，可看清距样机100m处人体轮廓，补光角度：激光：≤15°，红外：≤60°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▲5.内置双扬声器，可自定义文本转语音播报，样机可外接有线手咪或无线蓝牙手咪，支持双向语音，支持集群对讲。</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▲6.设备要求支持在-30～60℃下能正常工作；</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设备静电放电抗扰度应符合GB/T17626.2-2018中试验等级3的规定，射频电磁场辐射抗扰度应符合GB/T17626.3-2016中试验等级3的规定，浪涌（冲击）抗扰度应符合GB/T17626.5-2019中试验等级4的规定，设备的电源插头或电源引入端与外壳裸露金属部件之间，应能承受GB16796-2009中表1规定的交流电的抗电强度试验，历时1min应无击穿和飞弧现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8.设备外壳防护符合GB/T4208-2017中IP66的规定，带包装跌落高度1.5m跌落后，设备能正常工作。</w:t>
            </w:r>
            <w:r>
              <w:rPr>
                <w:rFonts w:hint="eastAsia" w:ascii="宋体" w:hAnsi="宋体" w:eastAsia="宋体" w:cs="宋体"/>
                <w:i w:val="0"/>
                <w:iCs w:val="0"/>
                <w:color w:val="000000"/>
                <w:sz w:val="22"/>
                <w:szCs w:val="22"/>
                <w:u w:val="none"/>
                <w:lang w:val="en-US" w:eastAsia="zh-CN" w:bidi="ar"/>
              </w:rPr>
            </w:r>
            <w:r/>
          </w:p>
          <w:p>
            <w:pPr>
              <w:pStyle w:val="663"/>
              <w:numPr>
                <w:ilvl w:val="0"/>
                <w:numId w:val="0"/>
              </w:num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2"/>
                <w:szCs w:val="22"/>
                <w:u w:val="none"/>
                <w:lang w:val="en-US" w:eastAsia="zh-CN" w:bidi="ar"/>
              </w:rPr>
              <w:t xml:space="preserve">9.产品尺寸直径≤200mm，高度≤300mm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10.云台支持水平360°连续转动、垂直-20°～90°转动，水平转速≥120°/s，垂直转速≥30°/s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11.支持变倍控制、隐私区域遮挡、支持3D定位。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12.编码算法支持H.264和H.265</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13.要求支持视频双码流，双码流规格均支持1920×1080/1280*720/640*480，帧率1-30帧/秒可调，码流64kbps～10Mbps可设置。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14.支持图片抓拍，抓拍图片支持保存到本地或上传到服务器，且可在本地检索回放，图片分辨率支持1920×1080/1280*720/640*480。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15.支持在输出的图像中叠加中文文字和符号信息，信息至少包括：时间、经纬度、名称等。支持根据分辨率适配字体大小：VGA：32*32、720P：48*48、1080P：64*64。</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网络通信功能：支持5G、4G通信；支持Wi-Fi通信、AP热点通信，可通过手动或语音切换Wi-Fi与AP热点模式；支持以太网，10/100自适应全双工模式；支持蓝牙通信，可搜索蓝牙设备列表选择配对，并可保存配对信息和自动连接。</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17.可持双TF卡存储，单卡最大可支持512GB，存储格式具有流式文件和电脑通用文件格式可选，存储的录像文件支持通过有线和无线方式导出。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18.设备内置北斗定位模块，内置定位天线，仅北斗定位模式，支持将定位数据上传至服务器，同时支持可离线补传定位数据。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19.设备采用宽电源设计，DC8V-36V范围内，样机可正常工作，并支持ACC信号开关机；设备自带液晶显示屏，支持查看当前拨号、电量、网络、录像、定位和存储状态。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20.支持远程配置设备参数，包括视频参数、网络参数、音频参数、定位参数、远程升级和恢复出厂设置等。支持通过手机连接样机AP热点，并可实现预览视频，双向语音对讲，录像查询、回放，以及视频/网络/音频/定位等参数配置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21.设备电池支持在1920×1080,25帧/s并开启本地录像条件下，连续工作时间≥12h，支持电池电量的显示值可以1%的精度递增或递减，支持通过语音、蜂鸣器、指示灯方式提示低电压报警，并支持报警时间上传至服务器。</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★22.可无缝接入江苏省消防救援总队互联网图像管理平台和部局图像综合管理平台。</w:t>
            </w:r>
            <w:r>
              <w:rPr>
                <w:rFonts w:hint="eastAsia" w:ascii="宋体" w:hAnsi="宋体" w:eastAsia="宋体" w:cs="宋体"/>
                <w:b/>
                <w:bCs/>
                <w:i w:val="0"/>
                <w:iCs w:val="0"/>
                <w:color w:val="000000"/>
                <w:sz w:val="22"/>
                <w:szCs w:val="22"/>
                <w:highlight w:val="none"/>
                <w:u w:val="none"/>
                <w:lang w:val="en-US" w:eastAsia="zh-CN" w:bidi="ar"/>
              </w:rPr>
              <w:t xml:space="preserve">（提供承诺书，格式自拟）</w:t>
            </w:r>
            <w:r>
              <w:rPr>
                <w:rFonts w:hint="eastAsia" w:ascii="宋体" w:hAnsi="宋体" w:eastAsia="宋体" w:cs="宋体"/>
                <w:i w:val="0"/>
                <w:iCs w:val="0"/>
                <w:color w:val="000000"/>
                <w:sz w:val="22"/>
                <w:szCs w:val="22"/>
                <w:highlight w:val="yellow"/>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23.设备配套应具以下附件：箱子1个、电源适配器1个、三脚架1个、托盘1个、有线手机、蓝牙耳机1个、车载充电器1个。</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sz w:val="21"/>
                <w:szCs w:val="21"/>
                <w:vertAlign w:val="baseline"/>
              </w:rPr>
            </w:r>
            <w:r/>
          </w:p>
        </w:tc>
        <w:tc>
          <w:tcPr>
            <w:tcW w:w="1125" w:type="dxa"/>
            <w:vAlign w:val="center"/>
            <w:textDirection w:val="lrTb"/>
            <w:noWrap w:val="false"/>
          </w:tcPr>
          <w:p>
            <w:pPr>
              <w:pStyle w:val="663"/>
              <w:ind w:left="0" w:right="0" w:firstLine="0"/>
              <w:jc w:val="left"/>
              <w:keepLines w:val="0"/>
              <w:keepNext/>
              <w:pageBreakBefore w:val="0"/>
              <w:spacing w:line="360" w:lineRule="exact"/>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发光通信导向绳</w:t>
            </w:r>
            <w:r>
              <w:rPr>
                <w:rFonts w:hint="eastAsia" w:ascii="宋体" w:hAnsi="宋体" w:eastAsia="宋体" w:cs="宋体"/>
                <w:sz w:val="21"/>
                <w:szCs w:val="21"/>
                <w:vertAlign w:val="baseline"/>
              </w:rPr>
            </w:r>
            <w:r/>
          </w:p>
        </w:tc>
        <w:tc>
          <w:tcPr>
            <w:tcW w:w="5383" w:type="dxa"/>
            <w:vAlign w:val="center"/>
            <w:textDirection w:val="lrTb"/>
            <w:noWrap w:val="false"/>
          </w:tcPr>
          <w:p>
            <w:pPr>
              <w:pStyle w:val="663"/>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内攻通信导向绳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1.主要应用场景：常用于地下商场、仓库、山洞、隧道等黑暗环境中进行的抢险、探察灾情、救生逃生等。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2.结构组成：由线体、线盘、电池一体化组成。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3.组成部分：消防员救生照明线、通信网关、中继网关组成。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4.具有多网融合通信功能，集专网、公网通信手段于一体，整套系统可将对讲机、WIFI通信信号实时转发。同时支持接入语音自组网设备。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5.网关之间有线通信速率：通信速率≥2Mbits/s</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▲6.网关防爆性能：≥EX ib IIC T4 Gb</w:t>
            </w:r>
            <w:r>
              <w:rPr>
                <w:rFonts w:hint="eastAsia" w:ascii="宋体" w:hAnsi="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7.网关有线级联跳数：≥3跳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8.网关拓展接口：支持网口和ODC光口</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9.网关连续工作时间≥10h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10.网关防护等级：IP68</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11.通信网关SIM卡接口：支持机壳外更换SIM卡</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▲12.线盘防爆性能：≥EX ib IIC T4 Gb</w:t>
            </w:r>
            <w:r>
              <w:rPr>
                <w:rFonts w:hint="eastAsia" w:ascii="宋体" w:hAnsi="宋体" w:cs="宋体"/>
                <w:b/>
                <w:bCs/>
                <w:i w:val="0"/>
                <w:iCs w:val="0"/>
                <w:color w:val="000000"/>
                <w:sz w:val="22"/>
                <w:szCs w:val="22"/>
                <w:highlight w:val="none"/>
                <w:u w:val="none"/>
                <w:lang w:val="en-US" w:eastAsia="zh-CN" w:bidi="ar"/>
              </w:rPr>
              <w:t xml:space="preserve">（提供防爆合格证）</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13.救生照明线一体化结构设计，内置锂电池，线长≥100米，发光亮度≥103cd/㎡，线体拉力≥505N</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14.具备长亮、慢闪、快闪、导向功能，长亮连续工作时间≥10h，闪烁连续工作时间≥20h</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▲15.救生照明线重量≤8kg</w:t>
            </w:r>
            <w:r>
              <w:rPr>
                <w:rFonts w:hint="eastAsia" w:ascii="宋体" w:hAnsi="宋体" w:eastAsia="宋体" w:cs="宋体"/>
                <w:i w:val="0"/>
                <w:iCs w:val="0"/>
                <w:color w:val="000000"/>
                <w:sz w:val="22"/>
                <w:szCs w:val="22"/>
                <w:u w:val="none"/>
                <w:lang w:val="en-US" w:eastAsia="zh-CN" w:bidi="ar"/>
              </w:rPr>
            </w:r>
            <w:r/>
          </w:p>
          <w:p>
            <w:pPr>
              <w:pStyle w:val="663"/>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cs="宋体"/>
                <w:b/>
                <w:bCs/>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16具有高亮辅助照明灯功能，在黑暗的环境中可提供辅助照明，线盘具有方位灯功能，方便寻回。</w:t>
            </w:r>
            <w:r>
              <w:rPr>
                <w:rFonts w:hint="eastAsia" w:ascii="宋体" w:hAnsi="宋体" w:eastAsia="宋体" w:cs="宋体"/>
                <w:sz w:val="21"/>
                <w:szCs w:val="21"/>
                <w:vertAlign w:val="baseline"/>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ascii="宋体" w:hAnsi="宋体" w:eastAsia="宋体" w:cs="宋体"/>
                <w:i w:val="0"/>
                <w:iCs w:val="0"/>
                <w:color w:val="000000"/>
                <w:sz w:val="21"/>
                <w:szCs w:val="21"/>
                <w:u w:val="none"/>
                <w:lang w:val="en-US" w:eastAsia="zh-CN" w:bidi="ar"/>
              </w:rPr>
            </w:r>
            <w:r/>
          </w:p>
        </w:tc>
        <w:tc>
          <w:tcPr>
            <w:tcW w:w="864"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663"/>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四、其他要求：</w:t>
      </w:r>
      <w:r>
        <w:rPr>
          <w:rFonts w:hint="eastAsia" w:ascii="宋体" w:hAnsi="宋体" w:eastAsia="宋体" w:cs="宋体"/>
          <w:b/>
          <w:bCs/>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1、质保期：2年 。</w:t>
      </w:r>
      <w:r>
        <w:rPr>
          <w:rFonts w:hint="eastAsia" w:ascii="宋体" w:hAnsi="宋体" w:eastAsia="宋体" w:cs="宋体"/>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rPr>
        <w:t xml:space="preserve">供货期限</w:t>
      </w:r>
      <w:r>
        <w:rPr>
          <w:rFonts w:hint="eastAsia" w:ascii="宋体" w:hAnsi="宋体" w:cs="宋体"/>
          <w:sz w:val="24"/>
          <w:highlight w:val="none"/>
        </w:rPr>
        <w:t xml:space="preserve">：合同签订后</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天内</w:t>
      </w:r>
      <w:r>
        <w:rPr>
          <w:rFonts w:hint="eastAsia" w:ascii="宋体" w:hAnsi="宋体" w:cs="宋体"/>
          <w:sz w:val="24"/>
          <w:highlight w:val="none"/>
          <w:lang w:val="en-US" w:eastAsia="zh-CN"/>
        </w:rPr>
        <w:t xml:space="preserve">供货</w:t>
      </w:r>
      <w:r>
        <w:rPr>
          <w:rFonts w:hint="eastAsia" w:ascii="宋体" w:hAnsi="宋体" w:cs="宋体"/>
          <w:sz w:val="24"/>
          <w:highlight w:val="none"/>
        </w:rPr>
        <w:t xml:space="preserve">完毕并验收合格</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663"/>
        <w:ind w:firstLine="480"/>
        <w:keepLines w:val="0"/>
        <w:keepNext w:val="0"/>
        <w:pageBreakBefore w:val="0"/>
        <w:spacing w:line="3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3、付款方式：所有货物供货完成后付合同价的50%，经消防大队试用两个月，满足要求后出具验收合格证明付清余款。</w:t>
      </w:r>
      <w:r>
        <w:rPr>
          <w:rFonts w:hint="eastAsia" w:ascii="宋体" w:hAnsi="宋体" w:cs="宋体"/>
          <w:sz w:val="24"/>
          <w:highlight w:val="none"/>
          <w:lang w:val="en-US" w:eastAsia="zh-CN"/>
        </w:rPr>
      </w:r>
      <w:r/>
    </w:p>
    <w:p>
      <w:pPr>
        <w:pStyle w:val="663"/>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注：①本项目报价包含完</w:t>
      </w:r>
      <w:r>
        <w:rPr>
          <w:rFonts w:hint="eastAsia" w:ascii="宋体" w:hAnsi="宋体" w:eastAsia="宋体" w:cs="宋体"/>
          <w:sz w:val="24"/>
          <w:szCs w:val="24"/>
          <w:lang w:val="en-US" w:eastAsia="zh-CN"/>
        </w:rPr>
        <w:t xml:space="preserve">成该项目所发生的所有费用。供应商在投标报价时应根据磋商文件要求并自行踏勘现场，在投标报价时应充分考虑项目实施期间的各类风险并计入报价中，结算时单价不再调整。采购人不组织供应商踏勘现场，由供应商自行对现场和周围环境进行勘察。供应商踏勘现场发生的费用自理并自行负责在踏勘现场中所发生的人员伤亡和财产损失。</w:t>
      </w:r>
      <w:r>
        <w:rPr>
          <w:rFonts w:hint="eastAsia" w:ascii="宋体" w:hAnsi="宋体" w:eastAsia="宋体" w:cs="宋体"/>
          <w:sz w:val="24"/>
          <w:szCs w:val="24"/>
          <w:lang w:val="en-US" w:eastAsia="zh-CN"/>
        </w:rPr>
      </w:r>
      <w:r/>
    </w:p>
    <w:p>
      <w:pPr>
        <w:pStyle w:val="663"/>
        <w:ind w:firstLine="480"/>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②为保证产品质量，</w:t>
      </w:r>
      <w:r>
        <w:rPr>
          <w:rFonts w:hint="eastAsia" w:ascii="宋体" w:hAnsi="宋体" w:eastAsia="宋体" w:cs="宋体"/>
          <w:b/>
          <w:bCs/>
          <w:sz w:val="24"/>
          <w:szCs w:val="24"/>
          <w:lang w:val="en-US" w:eastAsia="zh-CN"/>
        </w:rPr>
        <w:t xml:space="preserve">采购需求中其中★条款为必须响应条款，需提供响应证明材料，未按要求提供的作无效投标处理如未响应此项作无效标处理。</w:t>
      </w:r>
      <w:r>
        <w:rPr>
          <w:rFonts w:hint="eastAsia" w:ascii="宋体" w:hAnsi="宋体" w:eastAsia="宋体" w:cs="宋体"/>
          <w:b/>
          <w:bCs/>
          <w:sz w:val="24"/>
          <w:szCs w:val="24"/>
          <w:lang w:val="en-US" w:eastAsia="zh-CN"/>
        </w:rPr>
      </w:r>
      <w:r/>
    </w:p>
    <w:p>
      <w:pPr>
        <w:pStyle w:val="663"/>
        <w:jc w:val="left"/>
        <w:keepLines w:val="0"/>
        <w:keepNext w:val="0"/>
        <w:pageBreakBefore w:val="0"/>
        <w:spacing w:line="4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663"/>
        <w:ind w:right="0"/>
        <w:jc w:val="center"/>
        <w:keepLines w:val="0"/>
        <w:keepNext w:val="0"/>
        <w:pageBreakBefore/>
        <w:widowControl w:val="off"/>
        <w:rPr>
          <w:rFonts w:hint="eastAsia" w:ascii="宋体" w:hAnsi="宋体" w:eastAsia="宋体" w:cs="宋体"/>
          <w:b/>
          <w:bCs/>
          <w:sz w:val="32"/>
          <w:szCs w:val="32"/>
          <w:highlight w:val="none"/>
          <w:lang w:val="en-US" w:eastAsia="zh-CN"/>
        </w:rPr>
        <w:outlineLvl w:val="0"/>
      </w:pPr>
      <w:r/>
      <w:bookmarkStart w:id="34"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 xml:space="preserve">投标</w:t>
      </w:r>
      <w:r>
        <w:rPr>
          <w:rFonts w:hint="eastAsia" w:ascii="宋体" w:hAnsi="宋体" w:eastAsia="宋体" w:cs="宋体"/>
          <w:b/>
          <w:bCs/>
          <w:sz w:val="36"/>
          <w:szCs w:val="36"/>
          <w:highlight w:val="none"/>
        </w:rPr>
        <w:t xml:space="preserve">文件</w:t>
      </w:r>
      <w:r>
        <w:rPr>
          <w:rFonts w:hint="eastAsia" w:ascii="宋体" w:hAnsi="宋体" w:eastAsia="宋体" w:cs="宋体"/>
          <w:b/>
          <w:bCs/>
          <w:sz w:val="36"/>
          <w:szCs w:val="36"/>
          <w:highlight w:val="none"/>
          <w:lang w:val="en-US" w:eastAsia="zh-CN"/>
        </w:rPr>
        <w:t xml:space="preserve">格式</w:t>
      </w:r>
      <w:bookmarkEnd w:id="34"/>
      <w:r>
        <w:rPr>
          <w:rFonts w:hint="eastAsia" w:ascii="宋体" w:hAnsi="宋体" w:eastAsia="宋体" w:cs="宋体"/>
          <w:b/>
          <w:bCs/>
          <w:sz w:val="32"/>
          <w:szCs w:val="32"/>
          <w:highlight w:val="none"/>
          <w:lang w:val="en-US" w:eastAsia="zh-CN"/>
        </w:rPr>
      </w:r>
      <w:r/>
    </w:p>
    <w:p>
      <w:pPr>
        <w:pStyle w:val="680"/>
        <w:ind w:right="0" w:firstLine="2640"/>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680"/>
        <w:ind w:right="0"/>
        <w:jc w:val="center"/>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r>
        <w:rPr>
          <w:rFonts w:hint="eastAsia" w:ascii="宋体" w:hAnsi="宋体" w:eastAsia="宋体" w:cs="宋体"/>
          <w:sz w:val="44"/>
          <w:szCs w:val="44"/>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63"/>
        <w:ind w:right="0" w:firstLine="1446"/>
        <w:keepLines w:val="0"/>
        <w:keepNext w:val="0"/>
        <w:spacing w:line="400" w:lineRule="exact"/>
        <w:rPr>
          <w:rFonts w:hint="eastAsia" w:ascii="宋体" w:hAnsi="宋体" w:eastAsia="宋体" w:cs="宋体"/>
          <w:b/>
          <w:bCs/>
          <w:sz w:val="36"/>
          <w:highlight w:val="none"/>
        </w:rPr>
      </w:pPr>
      <w:r>
        <w:rPr>
          <w:rFonts w:hint="eastAsia" w:ascii="宋体" w:hAnsi="宋体" w:eastAsia="宋体" w:cs="宋体"/>
          <w:b/>
          <w:bCs/>
          <w:sz w:val="36"/>
          <w:highlight w:val="none"/>
        </w:rPr>
        <w:t xml:space="preserve">项目名称</w:t>
      </w:r>
      <w:r>
        <w:rPr>
          <w:rFonts w:hint="eastAsia" w:ascii="宋体" w:hAnsi="宋体" w:eastAsia="宋体" w:cs="宋体"/>
          <w:b/>
          <w:bCs/>
          <w:sz w:val="36"/>
          <w:highlight w:val="none"/>
          <w:lang w:eastAsia="zh-CN"/>
        </w:rPr>
        <w:t xml:space="preserve">：</w:t>
      </w:r>
      <w:r>
        <w:rPr>
          <w:rFonts w:hint="eastAsia" w:ascii="宋体" w:hAnsi="宋体" w:eastAsia="宋体" w:cs="宋体"/>
          <w:b/>
          <w:bCs/>
          <w:sz w:val="36"/>
          <w:highlight w:val="none"/>
        </w:rPr>
      </w:r>
      <w:r/>
    </w:p>
    <w:p>
      <w:pPr>
        <w:pStyle w:val="680"/>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428"/>
        <w:keepLines w:val="0"/>
        <w:keepNext w:val="0"/>
        <w:rPr>
          <w:rFonts w:ascii="宋体" w:hAnsi="宋体" w:eastAsia="宋体" w:cs="宋体"/>
          <w:b/>
          <w:sz w:val="36"/>
          <w:szCs w:val="24"/>
          <w:highlight w:val="none"/>
          <w:lang w:val="en-US" w:eastAsia="zh-CN"/>
        </w:rPr>
      </w:pPr>
      <w:r>
        <w:rPr>
          <w:rFonts w:hint="eastAsia" w:hAnsi="宋体" w:eastAsia="宋体" w:cs="宋体"/>
          <w:b/>
          <w:sz w:val="36"/>
          <w:szCs w:val="24"/>
          <w:highlight w:val="none"/>
          <w:lang w:val="en-US" w:eastAsia="zh-CN"/>
        </w:rPr>
        <w:t xml:space="preserve">采 购 包：1/2</w:t>
      </w:r>
      <w:r>
        <w:rPr>
          <w:rFonts w:ascii="宋体" w:hAnsi="宋体" w:eastAsia="宋体" w:cs="宋体"/>
          <w:b/>
          <w:sz w:val="36"/>
          <w:szCs w:val="24"/>
          <w:highlight w:val="none"/>
          <w:lang w:val="en-US" w:eastAsia="zh-CN"/>
        </w:rPr>
      </w:r>
      <w:r/>
    </w:p>
    <w:p>
      <w:pPr>
        <w:pStyle w:val="680"/>
        <w:ind w:right="0" w:firstLine="1066"/>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pStyle w:val="680"/>
        <w:ind w:right="0" w:firstLine="1428"/>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w:t>
      </w:r>
      <w:r>
        <w:rPr>
          <w:rFonts w:hint="eastAsia" w:ascii="宋体" w:hAnsi="宋体" w:eastAsia="宋体" w:cs="宋体"/>
          <w:b/>
          <w:sz w:val="36"/>
          <w:szCs w:val="24"/>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pStyle w:val="663"/>
        <w:ind w:right="0" w:firstLine="1428"/>
        <w:keepLines w:val="0"/>
        <w:keepNext w:val="0"/>
        <w:spacing w:line="400" w:lineRule="exact"/>
        <w:rPr>
          <w:rFonts w:hint="eastAsia" w:ascii="宋体" w:hAnsi="宋体" w:eastAsia="宋体" w:cs="宋体"/>
          <w:b/>
          <w:bCs/>
          <w:sz w:val="32"/>
          <w:highlight w:val="none"/>
        </w:rPr>
      </w:pPr>
      <w:r>
        <w:rPr>
          <w:rFonts w:hint="eastAsia" w:ascii="宋体" w:hAnsi="宋体" w:eastAsia="宋体" w:cs="宋体"/>
          <w:b/>
          <w:bCs/>
          <w:sz w:val="36"/>
          <w:highlight w:val="none"/>
          <w:lang w:eastAsia="zh-CN"/>
        </w:rPr>
        <w:t xml:space="preserve">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人：</w:t>
      </w:r>
      <w:r>
        <w:rPr>
          <w:rFonts w:hint="eastAsia" w:ascii="宋体" w:hAnsi="宋体" w:eastAsia="宋体" w:cs="宋体"/>
          <w:b/>
          <w:bCs/>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680"/>
        <w:ind w:right="0" w:firstLine="2645"/>
        <w:keepLines w:val="0"/>
        <w:keepNext w:val="0"/>
        <w:rPr>
          <w:rFonts w:hint="eastAsia" w:ascii="宋体" w:hAnsi="宋体" w:eastAsia="宋体" w:cs="宋体"/>
          <w:b/>
          <w:sz w:val="32"/>
          <w:highlight w:val="none"/>
        </w:rPr>
      </w:pPr>
      <w:r>
        <w:rPr>
          <w:rFonts w:hint="eastAsia" w:ascii="宋体" w:hAnsi="宋体" w:eastAsia="宋体" w:cs="宋体"/>
          <w:b/>
          <w:sz w:val="36"/>
          <w:szCs w:val="24"/>
          <w:highlight w:val="none"/>
        </w:rPr>
        <w:t xml:space="preserve">二</w:t>
      </w:r>
      <w:r>
        <w:rPr>
          <w:rFonts w:hint="eastAsia" w:ascii="宋体" w:hAnsi="宋体" w:eastAsia="宋体" w:cs="宋体"/>
          <w:b/>
          <w:sz w:val="36"/>
          <w:szCs w:val="24"/>
          <w:highlight w:val="none"/>
          <w:lang w:val="en-US" w:eastAsia="zh-CN"/>
        </w:rPr>
        <w:t xml:space="preserve">〇</w:t>
      </w:r>
      <w:r>
        <w:rPr>
          <w:rFonts w:hint="eastAsia" w:ascii="宋体" w:hAnsi="宋体" w:eastAsia="宋体" w:cs="宋体"/>
          <w:b/>
          <w:sz w:val="36"/>
          <w:szCs w:val="24"/>
          <w:highlight w:val="none"/>
        </w:rPr>
        <w:t xml:space="preserve">二</w:t>
      </w:r>
      <w:r>
        <w:rPr>
          <w:rFonts w:hint="eastAsia" w:hAnsi="宋体" w:eastAsia="宋体" w:cs="宋体"/>
          <w:b/>
          <w:sz w:val="36"/>
          <w:szCs w:val="24"/>
          <w:highlight w:val="none"/>
          <w:lang w:val="en-US" w:eastAsia="zh-CN"/>
        </w:rPr>
        <w:t xml:space="preserve">六</w:t>
      </w:r>
      <w:r>
        <w:rPr>
          <w:rFonts w:hint="eastAsia" w:ascii="宋体" w:hAnsi="宋体" w:eastAsia="宋体" w:cs="宋体"/>
          <w:b/>
          <w:sz w:val="36"/>
          <w:szCs w:val="24"/>
          <w:highlight w:val="none"/>
        </w:rPr>
        <w:t xml:space="preserve">年    月    日</w:t>
      </w:r>
      <w:r>
        <w:rPr>
          <w:rFonts w:hint="eastAsia" w:ascii="宋体" w:hAnsi="宋体" w:eastAsia="宋体" w:cs="宋体"/>
          <w:b/>
          <w:sz w:val="32"/>
          <w:highlight w:val="none"/>
        </w:rPr>
      </w:r>
      <w:r/>
    </w:p>
    <w:p>
      <w:pPr>
        <w:pStyle w:val="663"/>
        <w:ind w:right="0"/>
        <w:keepLines w:val="0"/>
        <w:keepNext w:val="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63"/>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92"/>
        <w:ind w:left="0" w:right="0" w:firstLine="0"/>
        <w:keepLines w:val="0"/>
        <w:keepNext w:val="0"/>
        <w:pageBreakBefore/>
        <w:spacing w:after="0"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尊敬的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r>
      <w:r/>
    </w:p>
    <w:p>
      <w:pPr>
        <w:pStyle w:val="663"/>
        <w:ind w:right="0" w:firstLine="480"/>
        <w:keepLines w:val="0"/>
        <w:keepNext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请按照以下文件的格式要求、内容制作响应文件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否则可能将影响对响应文件的评价。</w:t>
      </w:r>
      <w:r>
        <w:rPr>
          <w:rFonts w:hint="eastAsia" w:ascii="宋体" w:hAnsi="宋体" w:eastAsia="宋体" w:cs="宋体"/>
          <w:b/>
          <w:bCs/>
          <w:color w:val="000000"/>
          <w:sz w:val="24"/>
          <w:highlight w:val="none"/>
        </w:rPr>
        <w:t xml:space="preserve">电子投标文件格式中所有要求签字和盖章的部分</w:t>
      </w:r>
      <w:r>
        <w:rPr>
          <w:rFonts w:hint="eastAsia" w:ascii="宋体" w:hAnsi="宋体" w:eastAsia="宋体" w:cs="宋体"/>
          <w:b/>
          <w:bCs/>
          <w:color w:val="000000"/>
          <w:sz w:val="24"/>
          <w:highlight w:val="none"/>
          <w:lang w:eastAsia="zh-CN"/>
        </w:rPr>
        <w:t xml:space="preserve">只需</w:t>
      </w:r>
      <w:r>
        <w:rPr>
          <w:rFonts w:hint="eastAsia" w:ascii="宋体" w:hAnsi="宋体" w:eastAsia="宋体" w:cs="宋体"/>
          <w:b/>
          <w:bCs/>
          <w:color w:val="000000"/>
          <w:sz w:val="24"/>
          <w:highlight w:val="none"/>
        </w:rPr>
        <w:t xml:space="preserve">加盖电子签章。</w:t>
      </w:r>
      <w:r>
        <w:rPr>
          <w:rFonts w:hint="eastAsia" w:ascii="宋体" w:hAnsi="宋体" w:eastAsia="宋体" w:cs="宋体"/>
          <w:b/>
          <w:bCs/>
          <w:color w:val="000000"/>
          <w:sz w:val="24"/>
          <w:highlight w:val="none"/>
        </w:rPr>
      </w:r>
      <w:r/>
    </w:p>
    <w:p>
      <w:pPr>
        <w:pStyle w:val="663"/>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rPr>
          <w:rFonts w:hint="eastAsia" w:ascii="宋体" w:hAnsi="宋体" w:eastAsia="宋体" w:cs="宋体"/>
          <w:b/>
          <w:bCs/>
          <w:sz w:val="32"/>
          <w:szCs w:val="32"/>
          <w:highlight w:val="none"/>
        </w:rPr>
      </w:r>
      <w:r/>
    </w:p>
    <w:p>
      <w:pPr>
        <w:pStyle w:val="675"/>
        <w:ind w:right="0"/>
        <w:jc w:val="left"/>
        <w:keepLines w:val="0"/>
        <w:keepNext w:val="0"/>
        <w:pageBreakBefore w:val="0"/>
        <w:spacing w:line="380" w:lineRule="exact"/>
        <w:widowControl w:val="off"/>
        <w:tabs>
          <w:tab w:val="left" w:pos="2764"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r>
      <w:r/>
    </w:p>
    <w:p>
      <w:pPr>
        <w:pStyle w:val="734"/>
        <w:ind w:right="0" w:firstLine="480"/>
        <w:jc w:val="left"/>
        <w:keepLines w:val="0"/>
        <w:keepNext w:val="0"/>
        <w:pageBreakBefore w:val="0"/>
        <w:spacing w:before="0" w:after="0"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采购包1/采购包2 </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rPr>
        <w:t xml:space="preserve">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rPr>
          <w:rFonts w:hint="eastAsia" w:ascii="宋体" w:hAnsi="宋体" w:eastAsia="宋体" w:cs="宋体"/>
          <w:color w:val="000000"/>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w:t>
      </w:r>
      <w:r>
        <w:rPr>
          <w:rFonts w:hint="eastAsia" w:ascii="宋体" w:hAnsi="宋体" w:eastAsia="宋体" w:cs="宋体"/>
          <w:sz w:val="24"/>
          <w:szCs w:val="24"/>
          <w:highlight w:val="none"/>
        </w:rPr>
        <w:t xml:space="preserve">商品有机肥料</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单</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：合同签订后30天内供货完毕并验收合格。</w:t>
      </w:r>
      <w:r>
        <w:rPr>
          <w:rFonts w:hint="eastAsia" w:ascii="宋体" w:hAnsi="宋体" w:eastAsia="宋体" w:cs="宋体"/>
          <w:sz w:val="24"/>
          <w:szCs w:val="24"/>
          <w:highlight w:val="none"/>
          <w:lang w:eastAsia="zh-CN"/>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我们同意按照招标文件第二章第14条的规定，本投标文件的有效期为从开标之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rPr>
          <w:rFonts w:hint="eastAsia" w:ascii="宋体" w:hAnsi="宋体" w:eastAsia="宋体" w:cs="宋体"/>
          <w:sz w:val="24"/>
          <w:szCs w:val="24"/>
          <w:highlight w:val="none"/>
        </w:rPr>
      </w:r>
      <w:r/>
    </w:p>
    <w:p>
      <w:pPr>
        <w:pStyle w:val="663"/>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我们没有为本项目提供整体设计、规范编制或者项目管理、监理、检测等服务。</w:t>
      </w:r>
      <w:r>
        <w:rPr>
          <w:rFonts w:hint="eastAsia" w:ascii="宋体" w:hAnsi="宋体" w:eastAsia="宋体" w:cs="宋体"/>
          <w:sz w:val="24"/>
          <w:szCs w:val="24"/>
          <w:highlight w:val="none"/>
        </w:rPr>
      </w:r>
      <w:r/>
    </w:p>
    <w:p>
      <w:pPr>
        <w:pStyle w:val="663"/>
        <w:ind w:right="0" w:firstLine="567"/>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4"/>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r>
      <w:r/>
    </w:p>
    <w:p>
      <w:pPr>
        <w:pStyle w:val="734"/>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663"/>
        <w:ind w:right="0" w:firstLine="3840"/>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0"/>
        <w:ind w:right="0" w:firstLine="360"/>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663"/>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t xml:space="preserve">二、开标一览表</w:t>
      </w:r>
      <w:r>
        <w:rPr>
          <w:rFonts w:hint="eastAsia" w:ascii="宋体" w:hAnsi="宋体" w:eastAsia="宋体" w:cs="宋体"/>
          <w:b/>
          <w:bCs/>
          <w:spacing w:val="20"/>
          <w:sz w:val="32"/>
          <w:szCs w:val="32"/>
          <w:highlight w:val="none"/>
        </w:rPr>
      </w:r>
      <w:r/>
    </w:p>
    <w:tbl>
      <w:tblPr>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440" w:lineRule="exact"/>
              <w:tabs>
                <w:tab w:val="left" w:pos="900" w:leader="none"/>
              </w:tabs>
              <w:rPr>
                <w:rFonts w:ascii="宋体" w:hAnsi="宋体" w:eastAsia="宋体" w:cs="宋体"/>
                <w:sz w:val="24"/>
                <w:highlight w:val="none"/>
                <w:lang w:val="en-US" w:eastAsia="zh-CN"/>
              </w:rPr>
            </w:pPr>
            <w:r>
              <w:rPr>
                <w:rFonts w:hint="eastAsia" w:ascii="宋体" w:hAnsi="宋体" w:eastAsia="宋体" w:cs="宋体"/>
                <w:sz w:val="24"/>
                <w:highlight w:val="none"/>
                <w:lang w:val="zh-CN"/>
              </w:rPr>
              <w:t xml:space="preserve">开发区专职消防队消防设备、器材采购项目</w:t>
            </w:r>
            <w:r>
              <w:rPr>
                <w:rFonts w:hint="eastAsia" w:ascii="宋体" w:hAnsi="宋体" w:eastAsia="宋体" w:cs="宋体"/>
                <w:sz w:val="24"/>
                <w:highlight w:val="none"/>
                <w:lang w:val="en-US" w:eastAsia="zh-CN"/>
              </w:rPr>
              <w:t xml:space="preserve">-采购包1/采购包2</w:t>
            </w:r>
            <w:r>
              <w:rPr>
                <w:rFonts w:ascii="宋体" w:hAnsi="宋体" w:eastAsia="宋体" w:cs="宋体"/>
                <w:sz w:val="24"/>
                <w:highlight w:val="none"/>
                <w:lang w:val="en-US" w:eastAsia="zh-CN"/>
              </w:rPr>
            </w:r>
            <w:r/>
          </w:p>
        </w:tc>
      </w:tr>
      <w:tr>
        <w:trPr>
          <w:trHeight w:val="193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rPr>
                <w:rFonts w:hint="eastAsia" w:ascii="宋体" w:hAnsi="宋体" w:eastAsia="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rPr>
                <w:rFonts w:hint="eastAsia" w:ascii="宋体" w:hAnsi="宋体" w:cs="宋体"/>
                <w:sz w:val="24"/>
                <w:u w:val="single"/>
                <w:lang w:val="zh-CN"/>
              </w:rPr>
            </w:r>
            <w:r/>
          </w:p>
          <w:p>
            <w:pPr>
              <w:pStyle w:val="663"/>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eastAsia="宋体" w:cs="宋体"/>
                <w:sz w:val="24"/>
                <w:highlight w:val="none"/>
                <w:lang w:val="zh-CN"/>
              </w:rPr>
            </w:r>
            <w:r/>
          </w:p>
        </w:tc>
      </w:tr>
      <w:tr>
        <w:trPr>
          <w:trHeight w:val="46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pStyle w:val="663"/>
              <w:ind w:right="0"/>
              <w:jc w:val="center"/>
              <w:keepLines w:val="0"/>
              <w:keepNext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eastAsia="zh-CN"/>
              </w:rPr>
              <w:t xml:space="preserve">供货期限</w:t>
            </w:r>
            <w:r>
              <w:rPr>
                <w:rFonts w:hint="eastAsia" w:ascii="宋体" w:hAnsi="宋体" w:eastAsia="宋体" w:cs="宋体"/>
                <w:sz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pStyle w:val="663"/>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rPr>
              <w:t xml:space="preserve">合同签订后</w:t>
            </w:r>
            <w:r>
              <w:rPr>
                <w:rFonts w:hint="eastAsia" w:ascii="宋体" w:hAnsi="宋体" w:cs="宋体"/>
                <w:sz w:val="24"/>
                <w:lang w:val="en-US" w:eastAsia="zh-CN"/>
              </w:rPr>
              <w:t xml:space="preserve">30</w:t>
            </w:r>
            <w:r>
              <w:rPr>
                <w:rFonts w:hint="eastAsia" w:ascii="宋体" w:hAnsi="宋体" w:cs="宋体"/>
                <w:sz w:val="24"/>
              </w:rPr>
              <w:t xml:space="preserve">天内</w:t>
            </w:r>
            <w:r>
              <w:rPr>
                <w:rFonts w:hint="eastAsia" w:ascii="宋体" w:hAnsi="宋体" w:cs="宋体"/>
                <w:sz w:val="24"/>
                <w:lang w:val="en-US" w:eastAsia="zh-CN"/>
              </w:rPr>
              <w:t xml:space="preserve">供货</w:t>
            </w:r>
            <w:r>
              <w:rPr>
                <w:rFonts w:hint="eastAsia" w:ascii="宋体" w:hAnsi="宋体" w:cs="宋体"/>
                <w:sz w:val="24"/>
              </w:rPr>
              <w:t xml:space="preserve">完毕并验收合格</w:t>
            </w:r>
            <w:r>
              <w:rPr>
                <w:rFonts w:hint="eastAsia" w:ascii="宋体" w:hAnsi="宋体" w:cs="宋体"/>
                <w:sz w:val="24"/>
                <w:lang w:eastAsia="zh-CN"/>
              </w:rPr>
              <w:t xml:space="preserve">。</w:t>
            </w:r>
            <w:r>
              <w:rPr>
                <w:rFonts w:hint="eastAsia" w:ascii="宋体" w:hAnsi="宋体" w:eastAsia="宋体" w:cs="宋体"/>
                <w:sz w:val="24"/>
                <w:highlight w:val="none"/>
                <w:lang w:val="zh-CN"/>
              </w:rPr>
            </w:r>
            <w:r/>
          </w:p>
        </w:tc>
      </w:tr>
    </w:tbl>
    <w:p>
      <w:pPr>
        <w:pStyle w:val="663"/>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r>
      <w:r/>
    </w:p>
    <w:p>
      <w:pPr>
        <w:pStyle w:val="663"/>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85"/>
        <w:ind w:right="0"/>
        <w:keepLines w:val="0"/>
        <w:keepNext w:val="0"/>
        <w:tabs>
          <w:tab w:val="center" w:pos="4153" w:leader="none"/>
          <w:tab w:val="right" w:pos="8306" w:leader="none"/>
        </w:tabs>
        <w:rPr>
          <w:rFonts w:hint="eastAsia" w:ascii="宋体" w:hAnsi="宋体" w:eastAsia="宋体" w:cs="宋体"/>
          <w:highlight w:val="none"/>
        </w:rPr>
      </w:pPr>
      <w:r>
        <w:rPr>
          <w:rFonts w:hint="eastAsia" w:ascii="宋体" w:hAnsi="宋体" w:eastAsia="宋体" w:cs="宋体"/>
          <w:highlight w:val="none"/>
        </w:rPr>
      </w:r>
      <w:r/>
    </w:p>
    <w:p>
      <w:pPr>
        <w:pStyle w:val="663"/>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663"/>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rPr>
          <w:rFonts w:hint="eastAsia" w:ascii="宋体" w:hAnsi="宋体" w:eastAsia="宋体" w:cs="宋体"/>
          <w:sz w:val="24"/>
          <w:highlight w:val="none"/>
        </w:rPr>
      </w:r>
      <w:r/>
    </w:p>
    <w:p>
      <w:pPr>
        <w:pStyle w:val="663"/>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35" w:name="_Toc157775459"/>
      <w:r/>
      <w:bookmarkStart w:id="36" w:name="_Toc136924766"/>
      <w:r>
        <w:rPr>
          <w:rFonts w:hint="eastAsia" w:ascii="宋体" w:hAnsi="宋体" w:eastAsia="宋体" w:cs="宋体"/>
          <w:sz w:val="24"/>
          <w:highlight w:val="none"/>
        </w:rPr>
      </w:r>
      <w:r/>
    </w:p>
    <w:p>
      <w:pPr>
        <w:pStyle w:val="663"/>
        <w:ind w:right="0" w:firstLine="3408"/>
        <w:keepLines w:val="0"/>
        <w:keepNext w:val="0"/>
        <w:spacing w:line="440" w:lineRule="exact"/>
        <w:rPr>
          <w:rFonts w:hint="eastAsia" w:ascii="宋体" w:hAnsi="宋体" w:eastAsia="宋体" w:cs="宋体"/>
          <w:b/>
          <w:bCs/>
          <w:spacing w:val="20"/>
          <w:sz w:val="32"/>
          <w:szCs w:val="32"/>
          <w:highlight w:val="none"/>
        </w:rPr>
      </w:pPr>
      <w:r/>
      <w:bookmarkEnd w:id="35"/>
      <w:r/>
      <w:bookmarkEnd w:id="36"/>
      <w:r>
        <w:rPr>
          <w:rFonts w:hint="eastAsia" w:ascii="宋体" w:hAnsi="宋体" w:eastAsia="宋体" w:cs="宋体"/>
          <w:b/>
          <w:bCs/>
          <w:spacing w:val="20"/>
          <w:sz w:val="32"/>
          <w:szCs w:val="32"/>
          <w:highlight w:val="none"/>
        </w:rPr>
      </w:r>
      <w:r/>
    </w:p>
    <w:p>
      <w:pPr>
        <w:pStyle w:val="663"/>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63"/>
        <w:numPr>
          <w:ilvl w:val="0"/>
          <w:numId w:val="0"/>
        </w:numPr>
        <w:ind w:right="0"/>
        <w:jc w:val="center"/>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rPr>
          <w:rFonts w:hint="eastAsia" w:ascii="宋体" w:hAnsi="宋体" w:eastAsia="宋体" w:cs="宋体"/>
          <w:b/>
          <w:bCs/>
          <w:spacing w:val="20"/>
          <w:sz w:val="32"/>
          <w:szCs w:val="32"/>
          <w:highlight w:val="none"/>
        </w:rPr>
      </w:r>
      <w:r/>
    </w:p>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采购包1</w:t>
      </w:r>
      <w:r>
        <w:rPr>
          <w:rFonts w:hint="eastAsia" w:ascii="宋体" w:hAnsi="宋体" w:eastAsia="宋体" w:cs="宋体"/>
          <w:b/>
          <w:bCs/>
          <w:sz w:val="24"/>
          <w:szCs w:val="24"/>
          <w:u w:val="none"/>
          <w:lang w:val="en-US" w:eastAsia="zh-CN"/>
        </w:rPr>
      </w:r>
      <w:r/>
    </w:p>
    <w:tbl>
      <w:tblPr>
        <w:tblStyle w:val="694"/>
        <w:tblW w:w="99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34"/>
        <w:gridCol w:w="2061"/>
        <w:gridCol w:w="813"/>
        <w:gridCol w:w="789"/>
        <w:gridCol w:w="1068"/>
        <w:gridCol w:w="1261"/>
        <w:gridCol w:w="1261"/>
      </w:tblGrid>
      <w:tr>
        <w:trPr>
          <w:trHeight w:val="587"/>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vertAlign w:val="baseli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vertAlign w:val="baseline"/>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rPr>
                <w:rFonts w:hint="eastAsia" w:ascii="宋体" w:hAnsi="宋体" w:eastAsia="宋体" w:cs="宋体"/>
                <w:b/>
                <w:bCs/>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color w:val="000000"/>
                <w:sz w:val="24"/>
              </w:rPr>
              <w:t xml:space="preserve">是否响应项目采购需求</w:t>
            </w:r>
            <w:r>
              <w:rPr>
                <w:rFonts w:hint="eastAsia" w:ascii="宋体" w:hAnsi="宋体" w:eastAsia="宋体" w:cs="宋体"/>
                <w:b/>
                <w:bCs/>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lang w:val="en-US" w:eastAsia="zh-CN" w:bidi="ar"/>
              </w:rPr>
            </w:r>
            <w:r/>
          </w:p>
        </w:tc>
        <w:tc>
          <w:tcPr>
            <w:tcW w:w="1068"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1"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1"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备注</w:t>
            </w:r>
            <w:r>
              <w:rPr>
                <w:rFonts w:ascii="宋体" w:hAnsi="宋体" w:eastAsia="宋体" w:cs="宋体"/>
                <w:b/>
                <w:bCs/>
                <w:sz w:val="21"/>
                <w:szCs w:val="21"/>
                <w:vertAlign w:val="baseline"/>
                <w:lang w:val="en-US" w:eastAsia="zh-CN"/>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消防头盔（半盔）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头灯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应急逃生自救安全绳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消防腰斧</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消防安全腰带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8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消防员灭火防护头套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68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消防员抢险救援头盔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3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消防员抢险救援防护服（夏季）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lang w:val="en-US" w:eastAsia="zh-CN"/>
              </w:rPr>
              <w:t xml:space="preserve">13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消防员抢险救援防护服（冬季）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消防员抢险救援靴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消防护目镜</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消防员护膝护肘</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消防过滤式自救呼吸器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消防员隔热防护服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消防员避火防护服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化学防护手套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消防员降温背心</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8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消防全身式安全吊带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消防员防蜂服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消防轻型安全绳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消防通用安全绳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1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消防防坠落辅助部件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手提式强光照明灯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折叠担架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多功能担架</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numPr>
                <w:ilvl w:val="0"/>
                <w:numId w:val="0"/>
              </w:numPr>
              <w:ind w:left="0" w:firstLine="0"/>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numPr>
                <w:ilvl w:val="0"/>
                <w:numId w:val="0"/>
              </w:numPr>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救生抛投器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激光测距仪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漏电探测仪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有毒气体探测仪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vertAlign w:val="baseline"/>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可燃气体检测仪</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vertAlign w:val="baseline"/>
                <w:lang w:val="en-US" w:eastAsia="zh-CN"/>
              </w:rPr>
            </w:r>
            <w:r/>
          </w:p>
        </w:tc>
        <w:tc>
          <w:tcPr>
            <w:tcW w:w="203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rPr>
              <w:t xml:space="preserve">中压分水器</w:t>
            </w:r>
            <w:r>
              <w:rPr>
                <w:rFonts w:hint="eastAsia" w:ascii="宋体" w:hAnsi="宋体" w:eastAsia="宋体" w:cs="宋体"/>
                <w:vertAlign w:val="baseline"/>
              </w:rPr>
            </w:r>
            <w:r/>
          </w:p>
        </w:tc>
        <w:tc>
          <w:tcPr>
            <w:tcW w:w="2061"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三分水</w:t>
            </w:r>
            <w:r>
              <w:rPr>
                <w:rFonts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vertAlign w:val="baseline"/>
              </w:rPr>
            </w:r>
            <w:r/>
          </w:p>
        </w:tc>
        <w:tc>
          <w:tcPr>
            <w:tcW w:w="203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vertAlign w:val="baseline"/>
              </w:rPr>
            </w:r>
            <w:r/>
          </w:p>
        </w:tc>
        <w:tc>
          <w:tcPr>
            <w:tcW w:w="2061"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二分水</w:t>
            </w:r>
            <w:r>
              <w:rPr>
                <w:rFonts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highlight w:val="none"/>
                <w:vertAlign w:val="baseline"/>
                <w:lang w:val="en-US" w:eastAsia="zh-CN"/>
              </w:rPr>
              <w:t xml:space="preserve">三</w:t>
            </w:r>
            <w:r>
              <w:rPr>
                <w:rFonts w:hint="eastAsia"/>
                <w:highlight w:val="none"/>
                <w:vertAlign w:val="baseline"/>
              </w:rPr>
              <w:t xml:space="preserve">分水器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1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highlight w:val="none"/>
                <w:vertAlign w:val="baseline"/>
                <w:lang w:val="en-US" w:eastAsia="zh-CN"/>
              </w:rPr>
              <w:t xml:space="preserve">二</w:t>
            </w:r>
            <w:r>
              <w:rPr>
                <w:rFonts w:hint="eastAsia"/>
                <w:highlight w:val="none"/>
                <w:vertAlign w:val="baseline"/>
              </w:rPr>
              <w:t xml:space="preserve">分水器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57" w:hRule="exact"/>
        </w:trPr>
        <w:tc>
          <w:tcPr>
            <w:tcW w:w="672"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39</w:t>
            </w:r>
            <w:r>
              <w:rPr>
                <w:rFonts w:hint="eastAsia" w:ascii="宋体" w:hAnsi="宋体" w:eastAsia="宋体" w:cs="宋体"/>
                <w:vertAlign w:val="baseline"/>
                <w:lang w:val="en-US" w:eastAsia="zh-CN"/>
              </w:rPr>
            </w:r>
            <w:r/>
          </w:p>
        </w:tc>
        <w:tc>
          <w:tcPr>
            <w:tcW w:w="2034"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sz w:val="21"/>
                <w:szCs w:val="21"/>
                <w:highlight w:val="none"/>
                <w:vertAlign w:val="baseline"/>
              </w:rPr>
              <w:t xml:space="preserve">异型异径接口</w:t>
            </w:r>
            <w:r>
              <w:rPr>
                <w:rFonts w:hint="eastAsia" w:ascii="宋体" w:hAnsi="宋体" w:eastAsia="宋体" w:cs="宋体"/>
                <w:vertAlign w:val="baseline"/>
              </w:rPr>
            </w:r>
            <w:r/>
          </w:p>
        </w:tc>
        <w:tc>
          <w:tcPr>
            <w:tcW w:w="2061"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80转65</w:t>
            </w:r>
            <w:r>
              <w:rPr>
                <w:rFonts w:hint="eastAsia"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r>
            <w:r/>
          </w:p>
        </w:tc>
        <w:tc>
          <w:tcPr>
            <w:tcW w:w="2034"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65转40</w:t>
            </w:r>
            <w:r>
              <w:rPr>
                <w:rFonts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消防员湿式水域救援防护服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42" w:hRule="exact"/>
        </w:trPr>
        <w:tc>
          <w:tcPr>
            <w:tcW w:w="672"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41</w:t>
            </w:r>
            <w:r>
              <w:rPr>
                <w:rFonts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消防员干式水域救援防护服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2"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消防员水域救援防护靴</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消防员水域救援头盔</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69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激流救生衣</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90"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消防员水域救援绳刀</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牛尾绳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水域救援头灯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49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示位灯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水域救援抛绳包</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中队级双光无人机</w:t>
            </w: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自保多功能水枪</w:t>
            </w:r>
            <w:r>
              <w:rPr>
                <w:rFonts w:hint="eastAsia" w:ascii="宋体" w:hAnsi="宋体" w:eastAsia="宋体" w:cs="宋体"/>
                <w:i w:val="0"/>
                <w:iCs w:val="0"/>
                <w:color w:val="000000"/>
                <w:sz w:val="21"/>
                <w:szCs w:val="21"/>
                <w:highlight w:val="none"/>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液压开门器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舷外机</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舟艇</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艘</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机动链锯</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二级化学防护服</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救生照明线</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59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止坠器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60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安全钩</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61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短连接</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静力绳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动力绳</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IDS下降器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高空手套</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66</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墙角保护器</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67</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可调牛尾</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68</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绳索保护垫</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69</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绳索保护器滑轮组</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70</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警戒带</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68"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top"/>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71</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锥型事故标志柱</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72</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危险警示牌</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73</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电台</w:t>
            </w:r>
            <w:r>
              <w:rPr>
                <w:rFonts w:hint="eastAsia" w:ascii="宋体" w:hAnsi="宋体" w:eastAsia="宋体" w:cs="宋体"/>
                <w:vertAlign w:val="baseline"/>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74</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快速攻击炮</w:t>
            </w:r>
            <w:r>
              <w:rPr>
                <w:rFonts w:hint="eastAsia" w:ascii="宋体" w:hAnsi="宋体" w:eastAsia="宋体" w:cs="宋体"/>
                <w:i w:val="0"/>
                <w:iCs w:val="0"/>
                <w:color w:val="000000"/>
                <w:sz w:val="22"/>
                <w:szCs w:val="22"/>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hint="eastAsia" w:ascii="宋体" w:hAnsi="宋体" w:eastAsia="宋体" w:cs="宋体"/>
                <w:vertAlign w:val="baseline"/>
                <w:lang w:val="en-US" w:eastAsia="zh-CN"/>
              </w:rPr>
            </w:pPr>
            <w:r>
              <w:rPr>
                <w:rFonts w:hint="eastAsia" w:ascii="宋体" w:hAnsi="宋体" w:eastAsia="宋体" w:cs="宋体"/>
                <w:sz w:val="21"/>
                <w:szCs w:val="21"/>
                <w:highlight w:val="none"/>
                <w:vertAlign w:val="baseline"/>
                <w:lang w:val="en-US" w:eastAsia="zh-CN"/>
              </w:rPr>
              <w:t xml:space="preserve">75</w:t>
            </w:r>
            <w:r>
              <w:rPr>
                <w:rFonts w:hint="eastAsia" w:ascii="宋体" w:hAnsi="宋体" w:eastAsia="宋体" w:cs="宋体"/>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无齿锯</w:t>
            </w:r>
            <w:r>
              <w:rPr>
                <w:rFonts w:hint="eastAsia" w:ascii="宋体" w:hAnsi="宋体" w:eastAsia="宋体" w:cs="宋体"/>
                <w:i w:val="0"/>
                <w:iCs w:val="0"/>
                <w:color w:val="000000"/>
                <w:sz w:val="22"/>
                <w:szCs w:val="22"/>
                <w:u w:val="none"/>
                <w:lang w:val="en-US" w:eastAsia="zh-CN" w:bidi="ar"/>
              </w:rPr>
            </w:r>
            <w:r/>
          </w:p>
        </w:tc>
        <w:tc>
          <w:tcPr>
            <w:tcW w:w="2061"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813"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8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68"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1"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672" w:type="dxa"/>
            <w:vAlign w:val="center"/>
            <w:textDirection w:val="lrTb"/>
            <w:noWrap w:val="false"/>
          </w:tcPr>
          <w:p>
            <w:pPr>
              <w:pStyle w:val="663"/>
              <w:jc w:val="center"/>
              <w:keepLines w:val="0"/>
              <w:keepNext w:val="0"/>
              <w:pageBreakBefore w:val="0"/>
              <w:spacing w:line="360" w:lineRule="exact"/>
              <w:rPr>
                <w:rFonts w:ascii="宋体" w:hAnsi="宋体" w:eastAsia="宋体" w:cs="宋体"/>
                <w:b/>
                <w:bCs/>
                <w:vertAlign w:val="baseline"/>
                <w:lang w:val="en-US" w:eastAsia="zh-CN"/>
              </w:rPr>
            </w:pPr>
            <w:r>
              <w:rPr>
                <w:rFonts w:hint="eastAsia" w:ascii="宋体" w:hAnsi="宋体" w:eastAsia="宋体" w:cs="宋体"/>
                <w:b/>
                <w:bCs/>
                <w:vertAlign w:val="baseline"/>
                <w:lang w:val="en-US" w:eastAsia="zh-CN"/>
              </w:rPr>
              <w:t xml:space="preserve">76</w:t>
            </w:r>
            <w:r>
              <w:rPr>
                <w:rFonts w:ascii="宋体" w:hAnsi="宋体" w:eastAsia="宋体" w:cs="宋体"/>
                <w:b/>
                <w:bCs/>
                <w:vertAlign w:val="baseline"/>
                <w:lang w:val="en-US" w:eastAsia="zh-CN"/>
              </w:rPr>
            </w:r>
            <w:r/>
          </w:p>
        </w:tc>
        <w:tc>
          <w:tcPr>
            <w:tcW w:w="2034"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ascii="宋体" w:hAnsi="宋体" w:eastAsia="宋体" w:cs="宋体"/>
                <w:b/>
                <w:bCs/>
                <w:i w:val="0"/>
                <w:iCs w:val="0"/>
                <w:color w:val="000000"/>
                <w:sz w:val="22"/>
                <w:szCs w:val="22"/>
                <w:u w:val="none"/>
                <w:lang w:val="en-US" w:eastAsia="zh-CN" w:bidi="ar"/>
              </w:rPr>
            </w:r>
            <w:r/>
          </w:p>
        </w:tc>
        <w:tc>
          <w:tcPr>
            <w:gridSpan w:val="6"/>
            <w:tcW w:w="7253" w:type="dxa"/>
            <w:vAlign w:val="center"/>
            <w:textDirection w:val="lrTb"/>
            <w:noWrap w:val="false"/>
          </w:tcPr>
          <w:p>
            <w:pPr>
              <w:pStyle w:val="663"/>
              <w:jc w:val="left"/>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大写：                  （¥：             元）</w:t>
            </w:r>
            <w:r>
              <w:rPr>
                <w:rFonts w:ascii="宋体" w:hAnsi="宋体" w:eastAsia="宋体" w:cs="宋体"/>
                <w:b/>
                <w:bCs/>
                <w:i w:val="0"/>
                <w:iCs w:val="0"/>
                <w:color w:val="000000"/>
                <w:sz w:val="22"/>
                <w:szCs w:val="22"/>
                <w:u w:val="none"/>
                <w:lang w:val="en-US" w:eastAsia="zh-CN" w:bidi="ar"/>
              </w:rPr>
            </w:r>
            <w:r/>
          </w:p>
        </w:tc>
      </w:tr>
      <w:tr>
        <w:trPr>
          <w:trHeight w:val="887" w:hRule="exact"/>
        </w:trPr>
        <w:tc>
          <w:tcPr>
            <w:gridSpan w:val="8"/>
            <w:tcW w:w="9959"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bl>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pStyle w:val="789"/>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pStyle w:val="789"/>
        <w:ind w:left="0" w:firstLine="0"/>
        <w:jc w:val="left"/>
        <w:keepLines w:val="0"/>
        <w:keepNext w:val="0"/>
        <w:pageBreakBefore w:val="0"/>
        <w:spacing w:before="157" w:after="157" w:line="400" w:lineRule="exact"/>
        <w:widowControl/>
        <w:rPr>
          <w:rFonts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采购包2</w:t>
      </w:r>
      <w:r>
        <w:rPr>
          <w:rFonts w:ascii="宋体" w:hAnsi="宋体" w:eastAsia="宋体" w:cs="宋体"/>
          <w:b/>
          <w:bCs/>
          <w:sz w:val="24"/>
          <w:szCs w:val="24"/>
          <w:u w:val="none"/>
          <w:lang w:val="en-US" w:eastAsia="zh-CN"/>
        </w:rPr>
      </w:r>
      <w:r/>
    </w:p>
    <w:tbl>
      <w:tblPr>
        <w:tblStyle w:val="694"/>
        <w:tblW w:w="99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040"/>
        <w:gridCol w:w="2055"/>
        <w:gridCol w:w="795"/>
        <w:gridCol w:w="795"/>
        <w:gridCol w:w="1080"/>
        <w:gridCol w:w="1260"/>
        <w:gridCol w:w="1229"/>
        <w:gridCol w:w="15"/>
      </w:tblGrid>
      <w:tr>
        <w:trPr>
          <w:trHeight w:val="587"/>
        </w:trPr>
        <w:tc>
          <w:tcPr>
            <w:tcW w:w="70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lang w:val="en-US" w:eastAsia="zh-CN" w:bidi="ar"/>
              </w:rPr>
            </w:r>
            <w:r/>
          </w:p>
        </w:tc>
        <w:tc>
          <w:tcPr>
            <w:tcW w:w="204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器材名称</w:t>
            </w:r>
            <w:r>
              <w:rPr>
                <w:rFonts w:hint="eastAsia" w:ascii="宋体" w:hAnsi="宋体" w:eastAsia="宋体" w:cs="宋体"/>
                <w:b/>
                <w:bCs/>
                <w:i w:val="0"/>
                <w:iCs w:val="0"/>
                <w:color w:val="000000"/>
                <w:sz w:val="22"/>
                <w:szCs w:val="22"/>
                <w:u w:val="none"/>
                <w:lang w:val="en-US" w:eastAsia="zh-CN" w:bidi="ar"/>
              </w:rPr>
            </w:r>
            <w:r/>
          </w:p>
        </w:tc>
        <w:tc>
          <w:tcPr>
            <w:tcW w:w="205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color w:val="000000"/>
                <w:sz w:val="24"/>
              </w:rPr>
              <w:t xml:space="preserve">是否响应项目采购需求</w:t>
            </w:r>
            <w:r>
              <w:rPr>
                <w:rFonts w:ascii="宋体" w:hAnsi="宋体" w:eastAsia="宋体" w:cs="宋体"/>
                <w:b/>
                <w:bCs/>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ascii="宋体" w:hAnsi="宋体" w:eastAsia="宋体" w:cs="宋体"/>
                <w:b/>
                <w:bCs/>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ascii="宋体" w:hAnsi="宋体" w:eastAsia="宋体" w:cs="宋体"/>
                <w:b/>
                <w:bCs/>
                <w:i w:val="0"/>
                <w:iCs w:val="0"/>
                <w:color w:val="000000"/>
                <w:sz w:val="22"/>
                <w:szCs w:val="22"/>
                <w:u w:val="none"/>
                <w:lang w:val="en-US" w:eastAsia="zh-CN" w:bidi="ar"/>
              </w:rPr>
            </w:r>
            <w:r/>
          </w:p>
        </w:tc>
        <w:tc>
          <w:tcPr>
            <w:tcW w:w="1080"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单价（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tcW w:w="1260"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eastAsia="zh-CN"/>
              </w:rPr>
              <w:t xml:space="preserve">总价（</w:t>
            </w:r>
            <w:r>
              <w:rPr>
                <w:rFonts w:hint="eastAsia" w:ascii="宋体" w:hAnsi="宋体" w:eastAsia="宋体" w:cs="宋体"/>
                <w:b/>
                <w:bCs/>
                <w:sz w:val="21"/>
                <w:szCs w:val="21"/>
                <w:vertAlign w:val="baseline"/>
                <w:lang w:val="en-US" w:eastAsia="zh-CN"/>
              </w:rPr>
              <w:t xml:space="preserve">元</w:t>
            </w:r>
            <w:r>
              <w:rPr>
                <w:rFonts w:hint="eastAsia" w:ascii="宋体" w:hAnsi="宋体" w:eastAsia="宋体" w:cs="宋体"/>
                <w:b/>
                <w:bCs/>
                <w:sz w:val="21"/>
                <w:szCs w:val="21"/>
                <w:vertAlign w:val="baseline"/>
                <w:lang w:eastAsia="zh-CN"/>
              </w:rPr>
              <w:t xml:space="preserve">）</w:t>
            </w:r>
            <w:r>
              <w:rPr>
                <w:rFonts w:hint="eastAsia" w:ascii="宋体" w:hAnsi="宋体" w:eastAsia="宋体" w:cs="宋体"/>
                <w:b/>
                <w:bCs/>
                <w:i w:val="0"/>
                <w:iCs w:val="0"/>
                <w:color w:val="000000"/>
                <w:sz w:val="22"/>
                <w:szCs w:val="22"/>
                <w:u w:val="none"/>
                <w:lang w:val="en-US" w:eastAsia="zh-CN" w:bidi="ar"/>
              </w:rPr>
            </w:r>
            <w:r/>
          </w:p>
        </w:tc>
        <w:tc>
          <w:tcPr>
            <w:gridSpan w:val="2"/>
            <w:tcW w:w="1244" w:type="dxa"/>
            <w:vAlign w:val="center"/>
            <w:textDirection w:val="lrTb"/>
            <w:noWrap w:val="false"/>
          </w:tcPr>
          <w:p>
            <w:pPr>
              <w:pStyle w:val="663"/>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sz w:val="21"/>
                <w:szCs w:val="21"/>
                <w:vertAlign w:val="baseline"/>
                <w:lang w:val="en-US" w:eastAsia="zh-CN"/>
              </w:rPr>
              <w:t xml:space="preserve">备注</w:t>
            </w:r>
            <w:r>
              <w:rPr>
                <w:rFonts w:hint="eastAsia" w:ascii="宋体" w:hAnsi="宋体" w:eastAsia="宋体" w:cs="宋体"/>
                <w:b/>
                <w:bCs/>
                <w:i w:val="0"/>
                <w:iCs w:val="0"/>
                <w:color w:val="000000"/>
                <w:sz w:val="22"/>
                <w:szCs w:val="22"/>
                <w:u w:val="none"/>
                <w:lang w:val="en-US" w:eastAsia="zh-CN" w:bidi="ar"/>
              </w:rPr>
            </w:r>
            <w:r/>
          </w:p>
        </w:tc>
      </w:tr>
      <w:tr>
        <w:trPr>
          <w:trHeight w:val="79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正压式空气呼吸器（6、8L）</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消防六米拉梯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手抬机动消防泵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水幕水带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移动照明灯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消防九米拉梯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十五米金属拉梯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哈里根铤</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挂钩梯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手动破拆工具组</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多功能挠钩</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绝缘剪断钳</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无火花工具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多功能刀具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戒指角磨机</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毁锁器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2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消防员呼救器后场接收装置</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l</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一级化学防护服</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电绝缘装具</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消防用红外热像仪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消防水带65mm</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常压80mm水带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高压80mm水带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常压40mm水带</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直流水枪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浮挺泵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vMerge w:val="restart"/>
            <w:textDirection w:val="lrTb"/>
            <w:noWrap w:val="false"/>
          </w:tcPr>
          <w:p>
            <w:pPr>
              <w:pStyle w:val="663"/>
              <w:jc w:val="center"/>
              <w:keepLines w:val="0"/>
              <w:keepNext w:val="0"/>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eastAsia="宋体"/>
                <w:sz w:val="22"/>
                <w:szCs w:val="22"/>
                <w:vertAlign w:val="baseline"/>
              </w:rPr>
            </w:r>
            <w:r/>
          </w:p>
        </w:tc>
        <w:tc>
          <w:tcPr>
            <w:tcW w:w="2040" w:type="dxa"/>
            <w:vAlign w:val="center"/>
            <w:vMerge w:val="restart"/>
            <w:textDirection w:val="lrTb"/>
            <w:noWrap w:val="false"/>
          </w:tcPr>
          <w:p>
            <w:pPr>
              <w:pStyle w:val="663"/>
              <w:jc w:val="center"/>
              <w:keepLines w:val="0"/>
              <w:keepNext w:val="0"/>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多功能消防水枪</w:t>
            </w:r>
            <w:r>
              <w:rPr>
                <w:rFonts w:eastAsia="宋体"/>
                <w:sz w:val="22"/>
                <w:szCs w:val="22"/>
                <w:vertAlign w:val="baseline"/>
              </w:rPr>
            </w:r>
            <w:r/>
          </w:p>
        </w:tc>
        <w:tc>
          <w:tcPr>
            <w:tcW w:w="2055" w:type="dxa"/>
            <w:vAlign w:val="center"/>
            <w:vMerge w:val="restart"/>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vMerge w:val="continue"/>
            <w:textDirection w:val="lrTb"/>
            <w:noWrap w:val="false"/>
          </w:tcPr>
          <w:p>
            <w:pPr>
              <w:pStyle w:val="663"/>
              <w:jc w:val="center"/>
              <w:keepLines w:val="0"/>
              <w:keepNext w:val="0"/>
              <w:pageBreakBefore w:val="0"/>
              <w:spacing w:line="360" w:lineRule="exact"/>
              <w:rPr>
                <w:rFonts w:eastAsia="宋体"/>
                <w:sz w:val="22"/>
                <w:szCs w:val="22"/>
                <w:vertAlign w:val="baseline"/>
              </w:rPr>
            </w:pPr>
            <w:r>
              <w:rPr>
                <w:rFonts w:eastAsia="宋体"/>
                <w:sz w:val="22"/>
                <w:szCs w:val="22"/>
                <w:vertAlign w:val="baseline"/>
              </w:rPr>
            </w:r>
            <w:r/>
          </w:p>
        </w:tc>
        <w:tc>
          <w:tcPr>
            <w:tcW w:w="2040" w:type="dxa"/>
            <w:vAlign w:val="center"/>
            <w:vMerge w:val="continue"/>
            <w:textDirection w:val="lrTb"/>
            <w:noWrap w:val="false"/>
          </w:tcPr>
          <w:p>
            <w:pPr>
              <w:pStyle w:val="663"/>
              <w:jc w:val="center"/>
              <w:keepLines w:val="0"/>
              <w:keepNext w:val="0"/>
              <w:pageBreakBefore w:val="0"/>
              <w:spacing w:line="360" w:lineRule="exact"/>
              <w:rPr>
                <w:rFonts w:eastAsia="宋体"/>
                <w:sz w:val="22"/>
                <w:szCs w:val="22"/>
                <w:vertAlign w:val="baseline"/>
              </w:rPr>
            </w:pPr>
            <w:r>
              <w:rPr>
                <w:rFonts w:eastAsia="宋体"/>
                <w:sz w:val="22"/>
                <w:szCs w:val="22"/>
                <w:vertAlign w:val="baseline"/>
              </w:rPr>
            </w:r>
            <w:r/>
          </w:p>
        </w:tc>
        <w:tc>
          <w:tcPr>
            <w:tcW w:w="2055" w:type="dxa"/>
            <w:vAlign w:val="center"/>
            <w:vMerge w:val="continue"/>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空气充填泵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双轮异向切割锯</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手持式钢筋速断器</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eastAsia="宋体"/>
                <w:sz w:val="22"/>
                <w:szCs w:val="22"/>
                <w:vertAlign w:val="baseline"/>
              </w:rPr>
            </w:r>
            <w:r/>
          </w:p>
        </w:tc>
        <w:tc>
          <w:tcPr>
            <w:tcW w:w="2040" w:type="dxa"/>
            <w:vAlign w:val="center"/>
            <w:textDirection w:val="lrTb"/>
            <w:noWrap w:val="false"/>
          </w:tcPr>
          <w:p>
            <w:pPr>
              <w:pStyle w:val="663"/>
              <w:ind w:left="0" w:right="0" w:firstLine="0"/>
              <w:jc w:val="center"/>
              <w:keepLines w:val="0"/>
              <w:keepNext/>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声呐探测仪</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ind w:left="0" w:right="0" w:firstLine="0"/>
              <w:jc w:val="center"/>
              <w:keepLines w:val="0"/>
              <w:keepNext/>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5G单兵</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5G球机</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eastAsia="宋体"/>
                <w:sz w:val="22"/>
                <w:szCs w:val="22"/>
                <w:vertAlign w:val="baseline"/>
              </w:rPr>
            </w:r>
            <w:r/>
          </w:p>
        </w:tc>
        <w:tc>
          <w:tcPr>
            <w:tcW w:w="2040" w:type="dxa"/>
            <w:vAlign w:val="center"/>
            <w:textDirection w:val="lrTb"/>
            <w:noWrap w:val="false"/>
          </w:tcPr>
          <w:p>
            <w:pPr>
              <w:pStyle w:val="663"/>
              <w:jc w:val="center"/>
              <w:keepLines w:val="0"/>
              <w:keepNext w:val="0"/>
              <w:pageBreakBefore w:val="0"/>
              <w:spacing w:line="360" w:lineRule="exact"/>
              <w:widowControl/>
              <w:rPr>
                <w:rFonts w:eastAsia="宋体"/>
                <w:sz w:val="22"/>
                <w:szCs w:val="22"/>
                <w:vertAlign w:val="baseline"/>
              </w:rPr>
              <w:suppressLineNumbers w:val="0"/>
            </w:pPr>
            <w:r>
              <w:rPr>
                <w:rFonts w:hint="eastAsia" w:ascii="宋体" w:hAnsi="宋体" w:eastAsia="宋体" w:cs="宋体"/>
                <w:i w:val="0"/>
                <w:iCs w:val="0"/>
                <w:color w:val="000000"/>
                <w:sz w:val="22"/>
                <w:szCs w:val="22"/>
                <w:u w:val="none"/>
                <w:lang w:val="en-US" w:eastAsia="zh-CN" w:bidi="ar"/>
              </w:rPr>
              <w:t xml:space="preserve">发光通信导向绳</w:t>
            </w:r>
            <w:r>
              <w:rPr>
                <w:rFonts w:eastAsia="宋体"/>
                <w:sz w:val="22"/>
                <w:szCs w:val="22"/>
                <w:vertAlign w:val="baseline"/>
              </w:rPr>
            </w:r>
            <w:r/>
          </w:p>
        </w:tc>
        <w:tc>
          <w:tcPr>
            <w:tcW w:w="205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795"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2"/>
                <w:szCs w:val="22"/>
                <w:u w:val="none"/>
                <w:lang w:val="en-US" w:eastAsia="zh-CN" w:bidi="ar"/>
              </w:rPr>
            </w:r>
            <w:r/>
          </w:p>
        </w:tc>
        <w:tc>
          <w:tcPr>
            <w:tcW w:w="108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260"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tcW w:w="1244"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67" w:hRule="exact"/>
        </w:trPr>
        <w:tc>
          <w:tcPr>
            <w:tcW w:w="705"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36</w:t>
            </w:r>
            <w:r>
              <w:rPr>
                <w:rFonts w:ascii="宋体" w:hAnsi="宋体" w:eastAsia="宋体" w:cs="宋体"/>
                <w:b/>
                <w:bCs/>
                <w:i w:val="0"/>
                <w:iCs w:val="0"/>
                <w:color w:val="000000"/>
                <w:sz w:val="22"/>
                <w:szCs w:val="22"/>
                <w:u w:val="none"/>
                <w:lang w:val="en-US" w:eastAsia="zh-CN" w:bidi="ar"/>
              </w:rPr>
            </w:r>
            <w:r/>
          </w:p>
        </w:tc>
        <w:tc>
          <w:tcPr>
            <w:tcW w:w="2040" w:type="dxa"/>
            <w:vAlign w:val="center"/>
            <w:textDirection w:val="lrTb"/>
            <w:noWrap w:val="false"/>
          </w:tcPr>
          <w:p>
            <w:pPr>
              <w:pStyle w:val="663"/>
              <w:jc w:val="center"/>
              <w:keepLines w:val="0"/>
              <w:keepNext w:val="0"/>
              <w:pageBreakBefore w:val="0"/>
              <w:spacing w:line="360" w:lineRule="exact"/>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ascii="宋体" w:hAnsi="宋体" w:eastAsia="宋体" w:cs="宋体"/>
                <w:b/>
                <w:bCs/>
                <w:i w:val="0"/>
                <w:iCs w:val="0"/>
                <w:color w:val="000000"/>
                <w:sz w:val="22"/>
                <w:szCs w:val="22"/>
                <w:u w:val="none"/>
                <w:lang w:val="en-US" w:eastAsia="zh-CN" w:bidi="ar"/>
              </w:rPr>
            </w:r>
            <w:r/>
          </w:p>
        </w:tc>
        <w:tc>
          <w:tcPr>
            <w:gridSpan w:val="7"/>
            <w:tcW w:w="7229" w:type="dxa"/>
            <w:vAlign w:val="center"/>
            <w:textDirection w:val="lrTb"/>
            <w:noWrap w:val="false"/>
          </w:tcPr>
          <w:p>
            <w:pPr>
              <w:pStyle w:val="663"/>
              <w:jc w:val="center"/>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大写：                  （¥：             元）</w:t>
            </w:r>
            <w:r>
              <w:rPr>
                <w:rFonts w:hint="eastAsia" w:ascii="宋体" w:hAnsi="宋体" w:eastAsia="宋体" w:cs="宋体"/>
                <w:b/>
                <w:bCs/>
                <w:i w:val="0"/>
                <w:iCs w:val="0"/>
                <w:color w:val="000000"/>
                <w:sz w:val="22"/>
                <w:szCs w:val="22"/>
                <w:u w:val="none"/>
                <w:lang w:val="en-US" w:eastAsia="zh-CN" w:bidi="ar"/>
              </w:rPr>
            </w:r>
            <w:r/>
          </w:p>
        </w:tc>
      </w:tr>
      <w:tr>
        <w:trPr>
          <w:gridAfter w:val="1"/>
          <w:trHeight w:val="887" w:hRule="exact"/>
        </w:trPr>
        <w:tc>
          <w:tcPr>
            <w:gridSpan w:val="8"/>
            <w:tcW w:w="9959" w:type="dxa"/>
            <w:vAlign w:val="center"/>
            <w:textDirection w:val="lrTb"/>
            <w:noWrap w:val="false"/>
          </w:tcPr>
          <w:p>
            <w:pPr>
              <w:pStyle w:val="663"/>
              <w:jc w:val="left"/>
              <w:keepLines w:val="0"/>
              <w:keepNext w:val="0"/>
              <w:pageBreakBefore w:val="0"/>
              <w:spacing w:line="360" w:lineRule="exac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u w:val="single"/>
                <w:lang w:val="en-US" w:eastAsia="zh-CN" w:bidi="ar"/>
              </w:rPr>
              <w:t xml:space="preserve">        </w:t>
            </w: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r>
            <w:r/>
          </w:p>
        </w:tc>
      </w:tr>
    </w:tbl>
    <w:p>
      <w:pPr>
        <w:pStyle w:val="663"/>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rPr>
          <w:rFonts w:hint="eastAsia" w:ascii="宋体" w:hAnsi="宋体" w:eastAsia="宋体" w:cs="宋体"/>
          <w:color w:val="ff0000"/>
          <w:sz w:val="24"/>
          <w:highlight w:val="none"/>
          <w:u w:val="single"/>
        </w:rPr>
      </w:r>
      <w:r/>
    </w:p>
    <w:p>
      <w:pPr>
        <w:pStyle w:val="663"/>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680"/>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80"/>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rPr>
      </w:r>
      <w:r/>
    </w:p>
    <w:p>
      <w:pPr>
        <w:pStyle w:val="680"/>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rPr>
          <w:rFonts w:hint="eastAsia" w:ascii="宋体" w:hAnsi="宋体" w:eastAsia="宋体" w:cs="宋体"/>
          <w:sz w:val="24"/>
          <w:szCs w:val="24"/>
          <w:highlight w:val="none"/>
        </w:rPr>
      </w:r>
      <w:r/>
    </w:p>
    <w:p>
      <w:pPr>
        <w:pStyle w:val="680"/>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（2）上述表中的单价应包括人工成本、设备维修、消耗物资、车辆维修维护、燃油、电费、保险（意外保险）以及服务过程中一切可能发生的所有费用，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rPr>
          <w:rFonts w:hint="eastAsia" w:ascii="宋体" w:hAnsi="宋体" w:eastAsia="宋体" w:cs="宋体"/>
          <w:sz w:val="24"/>
          <w:szCs w:val="24"/>
          <w:highlight w:val="none"/>
        </w:rPr>
      </w:r>
      <w:r/>
    </w:p>
    <w:p>
      <w:pPr>
        <w:pStyle w:val="680"/>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（3）如果单价和总价不符时，以单价为准。</w:t>
      </w:r>
      <w:r>
        <w:rPr>
          <w:rFonts w:hint="eastAsia" w:ascii="宋体" w:hAnsi="宋体" w:eastAsia="宋体" w:cs="宋体"/>
          <w:sz w:val="24"/>
          <w:szCs w:val="24"/>
          <w:highlight w:val="none"/>
        </w:rPr>
      </w:r>
      <w:r/>
    </w:p>
    <w:p>
      <w:pPr>
        <w:pStyle w:val="680"/>
        <w:ind w:right="0" w:firstLine="240"/>
        <w:keepLines w:val="0"/>
        <w:keepNext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z w:val="24"/>
          <w:szCs w:val="24"/>
          <w:highlight w:val="none"/>
          <w:lang w:val="en-US" w:eastAsia="zh-CN" w:bidi="ar-SA"/>
        </w:rPr>
      </w:r>
      <w:r/>
    </w:p>
    <w:p>
      <w:pPr>
        <w:pStyle w:val="663"/>
        <w:numPr>
          <w:ilvl w:val="0"/>
          <w:numId w:val="0"/>
        </w:numPr>
        <w:ind w:right="0"/>
        <w:jc w:val="center"/>
        <w:keepLines w:val="0"/>
        <w:keepNext w:val="0"/>
        <w:pageBreakBefore/>
        <w:widowControl w:val="off"/>
        <w:rPr>
          <w:rFonts w:hint="eastAsia" w:ascii="宋体" w:hAnsi="宋体" w:eastAsia="宋体" w:cs="宋体"/>
          <w:b/>
          <w:bCs/>
          <w:spacing w:val="20"/>
          <w:sz w:val="32"/>
          <w:szCs w:val="32"/>
          <w:lang w:val="en-US" w:eastAsia="zh-CN" w:bidi="ar-SA"/>
        </w:rPr>
        <w:outlineLvl w:val="9"/>
      </w:pPr>
      <w:r>
        <w:rPr>
          <w:rFonts w:hint="eastAsia" w:ascii="宋体" w:hAnsi="宋体" w:eastAsia="宋体" w:cs="宋体"/>
          <w:b/>
          <w:bCs/>
          <w:spacing w:val="20"/>
          <w:sz w:val="32"/>
          <w:szCs w:val="32"/>
          <w:lang w:val="en-US" w:eastAsia="zh-CN" w:bidi="ar-SA"/>
        </w:rPr>
        <w:t xml:space="preserve">四、技术要求响应偏离表</w:t>
      </w:r>
      <w:r>
        <w:rPr>
          <w:rFonts w:hint="eastAsia" w:ascii="宋体" w:hAnsi="宋体" w:eastAsia="宋体" w:cs="宋体"/>
          <w:b/>
          <w:bCs/>
          <w:spacing w:val="20"/>
          <w:sz w:val="32"/>
          <w:szCs w:val="32"/>
          <w:lang w:val="en-US" w:eastAsia="zh-CN" w:bidi="ar-SA"/>
        </w:rPr>
      </w:r>
      <w:r/>
    </w:p>
    <w:p>
      <w:pPr>
        <w:pStyle w:val="663"/>
        <w:ind w:right="0"/>
        <w:jc w:val="left"/>
        <w:keepLines w:val="0"/>
        <w:keepNext w:val="0"/>
        <w:spacing w:line="56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采购包1/</w:t>
      </w:r>
      <w:r>
        <w:rPr>
          <w:rFonts w:hint="eastAsia" w:ascii="宋体" w:hAnsi="宋体" w:eastAsia="宋体" w:cs="宋体"/>
          <w:sz w:val="24"/>
          <w:highlight w:val="none"/>
          <w:lang w:val="en-US" w:eastAsia="zh-CN"/>
        </w:rPr>
        <w:t xml:space="preserve">采购包</w:t>
      </w:r>
      <w:r>
        <w:rPr>
          <w:rFonts w:hint="eastAsia" w:ascii="宋体" w:hAnsi="宋体" w:eastAsia="宋体" w:cs="宋体"/>
          <w:sz w:val="24"/>
          <w:highlight w:val="none"/>
          <w:lang w:val="en-US" w:eastAsia="zh-CN"/>
        </w:rPr>
        <w:t xml:space="preserve">2</w:t>
      </w:r>
      <w:r>
        <w:rPr>
          <w:rFonts w:ascii="宋体" w:hAnsi="宋体" w:eastAsia="宋体" w:cs="宋体"/>
          <w:sz w:val="24"/>
          <w:highlight w:val="none"/>
          <w:lang w:val="en-US" w:eastAsia="zh-CN"/>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525"/>
        <w:gridCol w:w="3540"/>
        <w:gridCol w:w="900"/>
        <w:gridCol w:w="975"/>
      </w:tblGrid>
      <w:tr>
        <w:trPr/>
        <w:tc>
          <w:tcPr>
            <w:tcW w:w="84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352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项目采购需求中主要技术条款描述</w:t>
            </w:r>
            <w:r>
              <w:rPr>
                <w:rFonts w:hint="eastAsia" w:ascii="宋体" w:hAnsi="宋体" w:eastAsia="宋体" w:cs="宋体"/>
                <w:sz w:val="24"/>
              </w:rPr>
            </w:r>
            <w:r/>
          </w:p>
        </w:tc>
        <w:tc>
          <w:tcPr>
            <w:tcW w:w="354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所投产品规格、型号及相应技术参数描述</w:t>
            </w:r>
            <w:r>
              <w:rPr>
                <w:rFonts w:hint="eastAsia" w:ascii="宋体" w:hAnsi="宋体" w:eastAsia="宋体" w:cs="宋体"/>
                <w:sz w:val="24"/>
              </w:rPr>
            </w:r>
            <w:r/>
          </w:p>
        </w:tc>
        <w:tc>
          <w:tcPr>
            <w:tcW w:w="900"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偏离情况</w:t>
            </w:r>
            <w:r>
              <w:rPr>
                <w:rFonts w:hint="eastAsia" w:ascii="宋体" w:hAnsi="宋体" w:eastAsia="宋体" w:cs="宋体"/>
                <w:sz w:val="24"/>
              </w:rPr>
            </w:r>
            <w:r/>
          </w:p>
        </w:tc>
        <w:tc>
          <w:tcPr>
            <w:tcW w:w="975" w:type="dxa"/>
            <w:vAlign w:val="center"/>
            <w:textDirection w:val="lrTb"/>
            <w:noWrap w:val="false"/>
          </w:tcPr>
          <w:p>
            <w:pPr>
              <w:pStyle w:val="663"/>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r>
        <w:trPr/>
        <w:tc>
          <w:tcPr>
            <w:tcW w:w="8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pStyle w:val="663"/>
              <w:jc w:val="center"/>
              <w:spacing w:line="520" w:lineRule="exact"/>
              <w:rPr>
                <w:rFonts w:hint="eastAsia" w:ascii="宋体" w:hAnsi="宋体" w:eastAsia="宋体" w:cs="宋体"/>
                <w:sz w:val="24"/>
              </w:rPr>
            </w:pPr>
            <w:r>
              <w:rPr>
                <w:rFonts w:hint="eastAsia" w:ascii="宋体" w:hAnsi="宋体" w:eastAsia="宋体" w:cs="宋体"/>
                <w:sz w:val="24"/>
              </w:rPr>
            </w:r>
            <w:r/>
          </w:p>
        </w:tc>
      </w:tr>
    </w:tbl>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投标人： </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法定代表人或其委托受托人签字：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注： （1）此表为表样，行数可自行添加，但表式不变。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（2）是否偏离用符号“+、=、-”分别表示正偏离、完全响应、负偏离。  </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（3）投标人必须仔细阅读本招标文件第五章中所有技术规范条款和相关功能要求，并将</w:t>
      </w:r>
      <w:r>
        <w:rPr>
          <w:rFonts w:hint="eastAsia" w:ascii="宋体" w:hAnsi="宋体" w:eastAsia="宋体" w:cs="宋体"/>
          <w:sz w:val="24"/>
          <w:highlight w:val="none"/>
          <w:lang w:val="en-US" w:eastAsia="zh-CN"/>
        </w:rPr>
        <w:t xml:space="preserve">拟投采购包加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项的</w:t>
      </w:r>
      <w:r>
        <w:rPr>
          <w:rFonts w:hint="eastAsia" w:ascii="宋体" w:hAnsi="宋体" w:eastAsia="宋体" w:cs="宋体"/>
          <w:sz w:val="24"/>
          <w:highlight w:val="none"/>
          <w:lang w:eastAsia="zh-CN"/>
        </w:rPr>
        <w:t xml:space="preserve">响应情况及偏离情况逐项填入上表。</w:t>
      </w:r>
      <w:r>
        <w:rPr>
          <w:rFonts w:hint="eastAsia" w:ascii="宋体" w:hAnsi="宋体" w:eastAsia="宋体" w:cs="宋体"/>
          <w:sz w:val="24"/>
          <w:highlight w:val="none"/>
          <w:lang w:eastAsia="zh-CN"/>
        </w:rPr>
      </w:r>
      <w:r/>
    </w:p>
    <w:p>
      <w:pPr>
        <w:pStyle w:val="663"/>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663"/>
        <w:ind w:right="0"/>
        <w:jc w:val="center"/>
        <w:keepLines w:val="0"/>
        <w:keepNext w:val="0"/>
        <w:pageBreakBefore/>
        <w:spacing w:line="520" w:lineRule="exact"/>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rPr>
        <w:t xml:space="preserve">、服务承诺</w:t>
      </w:r>
      <w:r>
        <w:rPr>
          <w:rFonts w:hint="eastAsia" w:ascii="宋体" w:hAnsi="宋体" w:eastAsia="宋体" w:cs="宋体"/>
          <w:b/>
          <w:sz w:val="32"/>
          <w:szCs w:val="32"/>
          <w:highlight w:val="none"/>
        </w:rPr>
      </w:r>
      <w:r/>
    </w:p>
    <w:p>
      <w:pPr>
        <w:pStyle w:val="782"/>
        <w:ind w:right="0"/>
        <w:jc w:val="center"/>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自定、加盖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680"/>
        <w:ind w:right="0"/>
        <w:keepLines w:val="0"/>
        <w:keepNext w:val="0"/>
        <w:spacing w:line="6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663"/>
        <w:ind w:right="0"/>
        <w:jc w:val="left"/>
        <w:keepLines w:val="0"/>
        <w:keepNext w:val="0"/>
        <w:pageBreakBefore/>
        <w:spacing w:line="520" w:lineRule="exact"/>
        <w:rPr>
          <w:rFonts w:hint="eastAsia" w:ascii="宋体" w:hAnsi="宋体" w:eastAsia="宋体" w:cs="宋体"/>
          <w:b/>
          <w:bCs/>
          <w:sz w:val="32"/>
          <w:szCs w:val="32"/>
          <w:highlight w:val="none"/>
        </w:rPr>
        <w:outlineLvl w:val="9"/>
      </w:pPr>
      <w:r/>
      <w:bookmarkStart w:id="37" w:name="_Toc157775454"/>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资质审查时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必须提交的资格证明文件</w:t>
      </w:r>
      <w:r>
        <w:rPr>
          <w:rFonts w:hint="eastAsia" w:ascii="宋体" w:hAnsi="宋体" w:eastAsia="宋体" w:cs="宋体"/>
          <w:b/>
          <w:bCs/>
          <w:sz w:val="32"/>
          <w:szCs w:val="32"/>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符合《中华人民共和国政府采购法》第二十二条规定</w:t>
      </w:r>
      <w:r>
        <w:rPr>
          <w:rFonts w:hint="eastAsia" w:ascii="宋体" w:hAnsi="宋体" w:eastAsia="宋体" w:cs="宋体"/>
          <w:sz w:val="24"/>
          <w:highlight w:val="none"/>
          <w:lang w:val="en-US" w:eastAsia="zh-CN"/>
        </w:rPr>
        <w:t xml:space="preserve">条件</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声明函</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（格式按照示范格式三要求提供）</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投标投标人</w:t>
      </w:r>
      <w:r>
        <w:rPr>
          <w:rFonts w:hint="eastAsia" w:ascii="宋体" w:hAnsi="宋体" w:eastAsia="宋体" w:cs="宋体"/>
          <w:sz w:val="24"/>
          <w:highlight w:val="none"/>
        </w:rPr>
        <w:t xml:space="preserve">提供下列之一</w:t>
      </w:r>
      <w:r>
        <w:rPr>
          <w:rFonts w:hint="eastAsia" w:ascii="宋体" w:hAnsi="宋体" w:eastAsia="宋体" w:cs="宋体"/>
          <w:b/>
          <w:bCs/>
          <w:sz w:val="24"/>
          <w:highlight w:val="none"/>
        </w:rPr>
        <w:t xml:space="preserve">（提供相关材料）：</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法定代表人参加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的，提供法定代表人资格证明（格式按照示范格式一要求）和法定代表人有效身份证</w:t>
      </w:r>
      <w:r>
        <w:rPr>
          <w:rFonts w:hint="eastAsia" w:ascii="宋体" w:hAnsi="宋体" w:eastAsia="宋体" w:cs="宋体"/>
          <w:b/>
          <w:bCs/>
          <w:sz w:val="24"/>
          <w:highlight w:val="none"/>
        </w:rPr>
        <w:t xml:space="preserve">（提供法人资格证明和身份证原件扫描件）；</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授权委托人参加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的，提供授权委托书（格式按照示范格式二要求）和受托人有效身份证</w:t>
      </w:r>
      <w:r>
        <w:rPr>
          <w:rFonts w:hint="eastAsia" w:ascii="宋体" w:hAnsi="宋体" w:eastAsia="宋体" w:cs="宋体"/>
          <w:b/>
          <w:bCs/>
          <w:sz w:val="24"/>
          <w:highlight w:val="none"/>
        </w:rPr>
        <w:t xml:space="preserve">（提供授权委托书和身份证原件扫描件）。</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rPr>
        <w:t xml:space="preserve">（提供下列任一项材料即可）</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中小</w:t>
      </w:r>
      <w:r>
        <w:rPr>
          <w:rFonts w:hint="eastAsia" w:ascii="宋体" w:hAnsi="宋体" w:eastAsia="宋体" w:cs="宋体"/>
          <w:sz w:val="24"/>
          <w:highlight w:val="none"/>
        </w:rPr>
        <w:t xml:space="preserve">企业声明函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（3）由省级以上监狱管理局、戒毒管理局（含新疆生产建设兵团）出具的属于监狱企业的证明文件。</w:t>
      </w:r>
      <w:r>
        <w:rPr>
          <w:rFonts w:hint="eastAsia" w:ascii="宋体" w:hAnsi="宋体" w:eastAsia="宋体" w:cs="宋体"/>
          <w:b/>
          <w:bCs/>
          <w:sz w:val="24"/>
          <w:highlight w:val="none"/>
        </w:rPr>
        <w:t xml:space="preserve">（提供加盖出具单位公章的原件扫描件上传）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r>
      <w:r/>
    </w:p>
    <w:p>
      <w:pPr>
        <w:pStyle w:val="663"/>
        <w:numPr>
          <w:ilvl w:val="0"/>
          <w:numId w:val="0"/>
        </w:numPr>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b/>
          <w:bCs/>
          <w:sz w:val="24"/>
          <w:highlight w:val="none"/>
        </w:rPr>
        <w:t xml:space="preserve">（不是联合体即可）</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拒绝符合下述条件的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参加本次采购活动</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要求提供）：</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采购人（代理机构）通过“信用中国”网站（www.creditchina.gov.cn）、“中国政府采购网”网站（www.ccgp.gov.cn）等渠道查询</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在采购公告发布之日前的信用记录并保存，查询结果以网页打印的形式留存并归档。</w:t>
      </w:r>
      <w:r>
        <w:rPr>
          <w:rFonts w:hint="eastAsia" w:ascii="宋体" w:hAnsi="宋体" w:eastAsia="宋体" w:cs="宋体"/>
          <w:b/>
          <w:bCs/>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以上所有要求提供的证明材料在投标截止时间之前</w:t>
      </w:r>
      <w:r>
        <w:rPr>
          <w:rFonts w:hint="eastAsia" w:ascii="宋体" w:hAnsi="宋体" w:eastAsia="宋体" w:cs="宋体"/>
          <w:sz w:val="24"/>
          <w:highlight w:val="none"/>
          <w:lang w:eastAsia="zh-CN"/>
        </w:rPr>
        <w:t xml:space="preserve">，使</w:t>
      </w:r>
      <w:r>
        <w:rPr>
          <w:rFonts w:hint="eastAsia" w:ascii="宋体" w:hAnsi="宋体" w:eastAsia="宋体" w:cs="宋体"/>
          <w:color w:val="0000ff"/>
          <w:sz w:val="24"/>
          <w:highlight w:val="none"/>
        </w:rPr>
        <w:t xml:space="preserve">用投标文件制作工具制作并生成上传至苏</w:t>
      </w:r>
      <w:r>
        <w:rPr>
          <w:rFonts w:hint="eastAsia" w:ascii="宋体" w:hAnsi="宋体" w:eastAsia="宋体" w:cs="宋体"/>
          <w:color w:val="0000ff"/>
          <w:sz w:val="24"/>
          <w:highlight w:val="none"/>
          <w:lang w:val="en-US" w:eastAsia="zh-CN"/>
        </w:rPr>
        <w:t xml:space="preserve">采</w:t>
      </w:r>
      <w:r>
        <w:rPr>
          <w:rFonts w:hint="eastAsia" w:ascii="宋体" w:hAnsi="宋体" w:eastAsia="宋体" w:cs="宋体"/>
          <w:color w:val="0000ff"/>
          <w:sz w:val="24"/>
          <w:highlight w:val="none"/>
        </w:rPr>
        <w:t xml:space="preserve">云平台</w:t>
      </w:r>
      <w:r>
        <w:rPr>
          <w:rFonts w:hint="eastAsia" w:ascii="宋体" w:hAnsi="宋体" w:eastAsia="宋体" w:cs="宋体"/>
          <w:sz w:val="24"/>
          <w:highlight w:val="none"/>
        </w:rPr>
        <w:t xml:space="preserve">，纸质文件不作为审查对象。如电子投标文件无法查阅上述所要求提供的证明材料的评审小组将以未提供证明材料取消其继续参加评审的资格。</w:t>
      </w:r>
      <w:r>
        <w:rPr>
          <w:rFonts w:hint="eastAsia" w:ascii="宋体" w:hAnsi="宋体" w:eastAsia="宋体" w:cs="宋体"/>
          <w:sz w:val="24"/>
          <w:highlight w:val="none"/>
        </w:rPr>
      </w:r>
      <w:r/>
    </w:p>
    <w:p>
      <w:pPr>
        <w:pStyle w:val="663"/>
        <w:ind w:right="0" w:firstLine="480"/>
        <w:jc w:val="left"/>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所提供的资格证明材料应真实、有效，采购人保留对</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提供的资格证明材料进行核查的权利。如发现</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提供虚假资格证明材料，采购人将对其进行严肃处理。</w:t>
      </w:r>
      <w:r>
        <w:rPr>
          <w:rFonts w:hint="eastAsia" w:ascii="宋体" w:hAnsi="宋体" w:eastAsia="宋体" w:cs="宋体"/>
          <w:sz w:val="24"/>
          <w:highlight w:val="none"/>
        </w:rPr>
      </w:r>
      <w:r/>
    </w:p>
    <w:p>
      <w:pPr>
        <w:pStyle w:val="663"/>
        <w:ind w:right="0"/>
        <w:jc w:val="left"/>
        <w:keepLines w:val="0"/>
        <w:keepNext w:val="0"/>
        <w:pageBreakBefore/>
        <w:spacing w:line="52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、涉及无效响应文件条款中</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必须提供的证明文件</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参加投标时，按照招标文件相关要求提供材料。</w:t>
      </w:r>
      <w:r>
        <w:rPr>
          <w:rFonts w:hint="eastAsia" w:ascii="宋体" w:hAnsi="宋体" w:eastAsia="宋体" w:cs="宋体"/>
          <w:sz w:val="24"/>
          <w:highlight w:val="none"/>
        </w:rPr>
      </w:r>
      <w:r/>
    </w:p>
    <w:p>
      <w:pPr>
        <w:pStyle w:val="663"/>
        <w:ind w:right="0"/>
        <w:jc w:val="left"/>
        <w:keepLines w:val="0"/>
        <w:keepNext w:val="0"/>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、评审时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需提供的证明文件</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请</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仔细阅读</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文件中评标办法及评分细则。</w:t>
      </w:r>
      <w:r>
        <w:rPr>
          <w:rFonts w:hint="eastAsia" w:ascii="宋体" w:hAnsi="宋体" w:eastAsia="宋体" w:cs="宋体"/>
          <w:sz w:val="24"/>
          <w:highlight w:val="none"/>
        </w:rPr>
      </w:r>
      <w:r/>
    </w:p>
    <w:p>
      <w:pPr>
        <w:pStyle w:val="663"/>
        <w:ind w:right="0"/>
        <w:jc w:val="left"/>
        <w:keepLines w:val="0"/>
        <w:keepNext w:val="0"/>
        <w:spacing w:line="520" w:lineRule="exact"/>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认为有必要提供并说明的其他资料</w:t>
      </w:r>
      <w:r>
        <w:rPr>
          <w:rFonts w:hint="eastAsia" w:ascii="宋体" w:hAnsi="宋体" w:eastAsia="宋体" w:cs="宋体"/>
          <w:b/>
          <w:bCs/>
          <w:sz w:val="32"/>
          <w:szCs w:val="32"/>
          <w:highlight w:val="none"/>
        </w:rPr>
      </w:r>
      <w:r/>
    </w:p>
    <w:p>
      <w:pPr>
        <w:pStyle w:val="663"/>
        <w:ind w:right="0" w:firstLine="48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格式由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自定，加盖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pStyle w:val="663"/>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63"/>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63"/>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rPr>
      </w:r>
      <w:r/>
    </w:p>
    <w:p>
      <w:pPr>
        <w:pStyle w:val="663"/>
        <w:ind w:right="0"/>
        <w:keepLines w:val="0"/>
        <w:keepNext w:val="0"/>
        <w:spacing w:line="440" w:lineRule="exact"/>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示范格式一</w:t>
      </w:r>
      <w:r>
        <w:rPr>
          <w:rFonts w:hint="eastAsia" w:ascii="宋体" w:hAnsi="宋体" w:eastAsia="宋体" w:cs="宋体"/>
          <w:b/>
          <w:sz w:val="24"/>
          <w:szCs w:val="24"/>
          <w:highlight w:val="none"/>
        </w:rPr>
      </w:r>
      <w:r/>
    </w:p>
    <w:p>
      <w:pPr>
        <w:pStyle w:val="663"/>
        <w:ind w:right="0" w:firstLine="1928"/>
        <w:keepLines w:val="0"/>
        <w:keepNext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63"/>
        <w:ind w:right="0" w:firstLine="2891"/>
        <w:keepLines w:val="0"/>
        <w:keepNext w:val="0"/>
        <w:spacing w:line="640" w:lineRule="exact"/>
        <w:rPr>
          <w:rFonts w:hint="eastAsia" w:ascii="宋体" w:hAnsi="宋体" w:eastAsia="宋体" w:cs="宋体"/>
          <w:b/>
          <w:bCs/>
          <w:sz w:val="32"/>
          <w:szCs w:val="32"/>
          <w:highlight w:val="none"/>
          <w:lang w:val="zh-CN"/>
        </w:rPr>
      </w:pPr>
      <w:r/>
      <w:bookmarkEnd w:id="37"/>
      <w:r>
        <w:rPr>
          <w:rFonts w:hint="eastAsia" w:ascii="宋体" w:hAnsi="宋体" w:eastAsia="宋体" w:cs="宋体"/>
          <w:b/>
          <w:bCs/>
          <w:sz w:val="32"/>
          <w:szCs w:val="32"/>
          <w:highlight w:val="none"/>
          <w:lang w:val="zh-CN"/>
        </w:rPr>
        <w:t xml:space="preserve">法定代表人资格证明</w:t>
      </w:r>
      <w:r>
        <w:rPr>
          <w:rFonts w:hint="eastAsia" w:ascii="宋体" w:hAnsi="宋体" w:eastAsia="宋体" w:cs="宋体"/>
          <w:b/>
          <w:bCs/>
          <w:sz w:val="32"/>
          <w:szCs w:val="32"/>
          <w:highlight w:val="none"/>
          <w:lang w:val="zh-CN"/>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单位名称：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职务：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663"/>
        <w:ind w:left="1" w:right="0" w:firstLine="4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项目，签署上述项目的响应文件、进行</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、签署合同和处理与之有关的一切事务。</w:t>
      </w:r>
      <w:r>
        <w:rPr>
          <w:rFonts w:hint="eastAsia" w:ascii="宋体" w:hAnsi="宋体" w:eastAsia="宋体" w:cs="宋体"/>
          <w:sz w:val="24"/>
          <w:highlight w:val="none"/>
        </w:rPr>
      </w:r>
      <w:r/>
    </w:p>
    <w:p>
      <w:pPr>
        <w:pStyle w:val="663"/>
        <w:ind w:right="0" w:firstLine="2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ind w:right="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63"/>
        <w:ind w:right="0" w:firstLine="28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734"/>
        <w:ind w:left="4500" w:right="0" w:hanging="1560"/>
        <w:keepLines w:val="0"/>
        <w:keepNext w:val="0"/>
        <w:spacing w:before="0" w:after="0"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663"/>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rPr>
          <w:rFonts w:hint="eastAsia" w:ascii="宋体" w:hAnsi="宋体" w:eastAsia="宋体" w:cs="宋体"/>
          <w:bCs/>
          <w:color w:val="000000"/>
          <w:sz w:val="24"/>
          <w:szCs w:val="24"/>
          <w:highlight w:val="none"/>
        </w:rPr>
      </w:r>
      <w:r/>
    </w:p>
    <w:p>
      <w:pPr>
        <w:pStyle w:val="663"/>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示范格式二</w:t>
      </w:r>
      <w:r>
        <w:rPr>
          <w:rFonts w:hint="eastAsia" w:ascii="宋体" w:hAnsi="宋体" w:eastAsia="宋体" w:cs="宋体"/>
          <w:b/>
          <w:sz w:val="28"/>
          <w:szCs w:val="28"/>
          <w:highlight w:val="none"/>
        </w:rPr>
      </w:r>
      <w:r/>
    </w:p>
    <w:p>
      <w:pPr>
        <w:pStyle w:val="663"/>
        <w:ind w:right="0"/>
        <w:jc w:val="center"/>
        <w:keepLines w:val="0"/>
        <w:keepNext w:val="0"/>
        <w:pageBreakBefore w:val="0"/>
        <w:spacing w:line="52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rPr>
          <w:rFonts w:hint="eastAsia" w:ascii="宋体" w:hAnsi="宋体" w:eastAsia="宋体" w:cs="宋体"/>
          <w:b/>
          <w:bCs/>
          <w:sz w:val="32"/>
          <w:szCs w:val="32"/>
          <w:highlight w:val="none"/>
        </w:rPr>
      </w:r>
      <w:r/>
    </w:p>
    <w:p>
      <w:pPr>
        <w:pStyle w:val="663"/>
        <w:ind w:right="0"/>
        <w:jc w:val="left"/>
        <w:keepLines w:val="0"/>
        <w:keepNext w:val="0"/>
        <w:spacing w:line="6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 xml:space="preserve">：</w:t>
      </w:r>
      <w:r>
        <w:rPr>
          <w:rFonts w:hint="eastAsia" w:ascii="宋体" w:hAnsi="宋体" w:eastAsia="宋体" w:cs="宋体"/>
          <w:bCs/>
          <w:color w:val="000000"/>
          <w:sz w:val="24"/>
          <w:highlight w:val="none"/>
          <w:lang w:eastAsia="zh-CN"/>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项目名称（项目编号：        ）</w:t>
      </w:r>
      <w:r>
        <w:rPr>
          <w:rFonts w:hint="eastAsia" w:ascii="宋体" w:hAnsi="宋体" w:eastAsia="宋体" w:cs="宋体"/>
          <w:color w:val="000000"/>
          <w:sz w:val="24"/>
          <w:highlight w:val="none"/>
        </w:rPr>
        <w:t xml:space="preserve">采购项目的政府采购活动，受托人有权在该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活动中，以我单位的名义签署</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函和响应文件，与采购人协商、澄清、解释，签订合同书并执行一切与此有关的事项。</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rPr>
          <w:rFonts w:hint="eastAsia" w:ascii="宋体" w:hAnsi="宋体" w:eastAsia="宋体" w:cs="宋体"/>
          <w:color w:val="000000"/>
          <w:sz w:val="24"/>
          <w:highlight w:val="none"/>
        </w:rPr>
      </w:r>
      <w:r/>
    </w:p>
    <w:p>
      <w:pPr>
        <w:pStyle w:val="663"/>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rPr>
          <w:rFonts w:hint="eastAsia" w:ascii="宋体" w:hAnsi="宋体" w:eastAsia="宋体" w:cs="宋体"/>
          <w:color w:val="000000"/>
          <w:sz w:val="24"/>
          <w:highlight w:val="none"/>
        </w:rPr>
      </w:r>
      <w:r/>
    </w:p>
    <w:p>
      <w:pPr>
        <w:pStyle w:val="663"/>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63"/>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63"/>
        <w:ind w:right="0" w:firstLine="48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63"/>
        <w:ind w:right="0" w:firstLine="4800"/>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63"/>
        <w:ind w:right="0" w:firstLine="5481"/>
        <w:keepLines w:val="0"/>
        <w:keepNext w:val="0"/>
        <w:spacing w:line="56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pStyle w:val="663"/>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rPr>
          <w:rFonts w:hint="eastAsia" w:ascii="宋体" w:hAnsi="宋体" w:eastAsia="宋体" w:cs="宋体"/>
          <w:bCs/>
          <w:color w:val="000000"/>
          <w:sz w:val="24"/>
          <w:szCs w:val="24"/>
          <w:highlight w:val="none"/>
        </w:rPr>
      </w:r>
      <w:r/>
    </w:p>
    <w:p>
      <w:pPr>
        <w:pStyle w:val="663"/>
        <w:ind w:left="-359" w:right="0" w:firstLine="470"/>
        <w:keepLines w:val="0"/>
        <w:keepNext w:val="0"/>
        <w:spacing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63"/>
        <w:ind w:right="0"/>
        <w:jc w:val="left"/>
        <w:keepLines w:val="0"/>
        <w:keepNext w:val="0"/>
        <w:pageBreakBefore/>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示范格式三</w:t>
      </w:r>
      <w:r>
        <w:rPr>
          <w:rFonts w:hint="eastAsia" w:ascii="宋体" w:hAnsi="宋体" w:eastAsia="宋体" w:cs="宋体"/>
          <w:b/>
          <w:sz w:val="28"/>
          <w:szCs w:val="28"/>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85"/>
        <w:ind w:right="0"/>
        <w:jc w:val="center"/>
        <w:keepLines w:val="0"/>
        <w:keepNext w:val="0"/>
        <w:tabs>
          <w:tab w:val="center" w:pos="4153" w:leader="none"/>
          <w:tab w:val="right" w:pos="8306" w:leader="none"/>
        </w:tabs>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w:t>
      </w:r>
      <w:r>
        <w:rPr>
          <w:rFonts w:hint="eastAsia" w:ascii="宋体" w:hAnsi="宋体" w:eastAsia="宋体" w:cs="宋体"/>
          <w:b/>
          <w:sz w:val="30"/>
          <w:szCs w:val="30"/>
          <w:highlight w:val="none"/>
          <w:lang w:eastAsia="zh-CN"/>
        </w:rPr>
        <w:t xml:space="preserve">中华人民共和国政府采购法</w:t>
      </w:r>
      <w:r>
        <w:rPr>
          <w:rFonts w:hint="eastAsia" w:ascii="宋体" w:hAnsi="宋体" w:eastAsia="宋体" w:cs="宋体"/>
          <w:b/>
          <w:sz w:val="30"/>
          <w:szCs w:val="30"/>
          <w:highlight w:val="none"/>
        </w:rPr>
        <w:t xml:space="preserve">》第二十二条规定条件的声明函</w:t>
      </w:r>
      <w:r>
        <w:rPr>
          <w:rFonts w:hint="eastAsia" w:ascii="宋体" w:hAnsi="宋体" w:eastAsia="宋体" w:cs="宋体"/>
          <w:b/>
          <w:sz w:val="30"/>
          <w:szCs w:val="30"/>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eastAsia="宋体" w:cs="宋体"/>
          <w:color w:val="000000"/>
          <w:sz w:val="24"/>
          <w:highlight w:val="none"/>
          <w:u w:val="single"/>
          <w:lang w:eastAsia="zh-CN"/>
        </w:rPr>
        <w:t xml:space="preserve">江苏金湖经济开发区管理委员会</w:t>
      </w:r>
      <w:r>
        <w:rPr>
          <w:rFonts w:hint="eastAsia" w:ascii="宋体" w:hAnsi="宋体" w:eastAsia="宋体" w:cs="宋体"/>
          <w:color w:val="000000"/>
          <w:sz w:val="24"/>
          <w:highlight w:val="none"/>
        </w:rPr>
        <w:t xml:space="preserve">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采购项目的政府采购活动。针对《中华人民共和国政府采购法》第二十二条规定作出如下声明：</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我单位具有良好的商业信誉和健全的财务会计制度；</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我单位具有履行合同所必需的设备和专业技术能力；</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我单位有依法缴纳税收和社会保障资金的良好记录；</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参加本次政府采购活动前</w:t>
      </w:r>
      <w:r>
        <w:rPr>
          <w:rFonts w:hint="eastAsia" w:ascii="宋体" w:hAnsi="宋体" w:eastAsia="宋体" w:cs="宋体"/>
          <w:color w:val="000000"/>
          <w:sz w:val="24"/>
          <w:highlight w:val="none"/>
          <w:lang w:val="en-US" w:eastAsia="zh-CN"/>
        </w:rPr>
        <w:t xml:space="preserve">三年</w:t>
      </w:r>
      <w:r>
        <w:rPr>
          <w:rFonts w:hint="eastAsia" w:ascii="宋体" w:hAnsi="宋体" w:eastAsia="宋体" w:cs="宋体"/>
          <w:color w:val="000000"/>
          <w:sz w:val="24"/>
          <w:highlight w:val="none"/>
        </w:rPr>
        <w:t xml:space="preserve">内，我公司在经营活动中没有因违法经营受到刑事处罚或者责令停产停业、吊销许可证或者执照、较大数额罚款等行政处罚；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663"/>
        <w:ind w:right="0" w:firstLine="480"/>
        <w:jc w:val="left"/>
        <w:keepLines w:val="0"/>
        <w:keepNext w:val="0"/>
        <w:pageBreakBefore w:val="0"/>
        <w:spacing w:line="600" w:lineRule="exact"/>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我单位满足法律、行政法规规定的其他条件。</w:t>
      </w:r>
      <w:r>
        <w:rPr>
          <w:rFonts w:hint="eastAsia" w:ascii="宋体" w:hAnsi="宋体" w:eastAsia="宋体" w:cs="宋体"/>
          <w:bCs/>
          <w:sz w:val="24"/>
          <w:highlight w:val="none"/>
        </w:rPr>
      </w:r>
      <w:r/>
    </w:p>
    <w:p>
      <w:pPr>
        <w:pStyle w:val="685"/>
        <w:ind w:right="0" w:firstLine="4320"/>
        <w:keepLines w:val="0"/>
        <w:keepNext w:val="0"/>
        <w:spacing w:line="600" w:lineRule="exact"/>
        <w:tabs>
          <w:tab w:val="center" w:pos="4153" w:leader="none"/>
          <w:tab w:val="right" w:pos="830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85"/>
        <w:ind w:right="0" w:firstLine="4320"/>
        <w:keepLines w:val="0"/>
        <w:keepNext w:val="0"/>
        <w:spacing w:line="600" w:lineRule="exact"/>
        <w:tabs>
          <w:tab w:val="center" w:pos="4153" w:leader="none"/>
          <w:tab w:val="right" w:pos="830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63"/>
        <w:ind w:right="0" w:firstLine="60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承诺人：</w:t>
      </w:r>
      <w:r>
        <w:rPr>
          <w:rFonts w:hint="eastAsia" w:ascii="宋体" w:hAnsi="宋体" w:eastAsia="宋体" w:cs="宋体"/>
          <w:color w:val="000000"/>
          <w:sz w:val="24"/>
          <w:highlight w:val="none"/>
          <w:u w:val="single"/>
        </w:rPr>
        <w:t xml:space="preserve">（</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r>
      <w:r/>
    </w:p>
    <w:p>
      <w:pPr>
        <w:pStyle w:val="663"/>
        <w:ind w:right="0"/>
        <w:keepLines w:val="0"/>
        <w:keepNext w:val="0"/>
        <w:spacing w:line="600" w:lineRule="exact"/>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Cs/>
          <w:sz w:val="24"/>
          <w:highlight w:val="none"/>
        </w:rPr>
      </w:r>
      <w:r/>
    </w:p>
    <w:p>
      <w:pPr>
        <w:pStyle w:val="663"/>
        <w:ind w:right="0"/>
        <w:keepLines w:val="0"/>
        <w:keepNext w:val="0"/>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63"/>
        <w:ind w:right="0"/>
        <w:keepLines w:val="0"/>
        <w:keepNext w:val="0"/>
        <w:pageBreakBefore/>
        <w:widowControl w:val="off"/>
        <w:rPr>
          <w:rFonts w:hint="eastAsia" w:ascii="宋体" w:hAnsi="宋体" w:eastAsia="宋体" w:cs="宋体"/>
          <w:sz w:val="24"/>
          <w:szCs w:val="24"/>
          <w:highlight w:val="none"/>
        </w:rPr>
      </w:pPr>
      <w:r>
        <w:rPr>
          <w:rFonts w:hint="eastAsia" w:ascii="宋体" w:hAnsi="宋体" w:eastAsia="宋体" w:cs="宋体"/>
          <w:b/>
          <w:sz w:val="28"/>
          <w:szCs w:val="28"/>
          <w:highlight w:val="none"/>
        </w:rPr>
        <w:t xml:space="preserve">示范格式四</w:t>
      </w:r>
      <w:r>
        <w:rPr>
          <w:rFonts w:hint="eastAsia" w:ascii="宋体" w:hAnsi="宋体" w:eastAsia="宋体" w:cs="宋体"/>
          <w:sz w:val="24"/>
          <w:szCs w:val="24"/>
          <w:highlight w:val="none"/>
        </w:rPr>
      </w:r>
      <w:r/>
    </w:p>
    <w:p>
      <w:pPr>
        <w:pStyle w:val="663"/>
        <w:ind w:right="0"/>
        <w:jc w:val="center"/>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中小企业声明函（货物类）</w:t>
      </w:r>
      <w:r>
        <w:rPr>
          <w:rFonts w:hint="eastAsia" w:ascii="宋体" w:hAnsi="宋体" w:eastAsia="宋体" w:cs="宋体"/>
          <w:b/>
          <w:bCs/>
          <w:sz w:val="32"/>
          <w:szCs w:val="32"/>
          <w:highlight w:val="none"/>
        </w:rPr>
      </w:r>
      <w:r/>
    </w:p>
    <w:p>
      <w:pPr>
        <w:pStyle w:val="671"/>
        <w:ind w:left="0" w:right="0" w:firstLine="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采购人</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采购活动，提供的货物全部由符合政策要求的中小企业制造。相关企业的具体情况如下： </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rPr>
          <w:rFonts w:hint="eastAsia" w:ascii="宋体" w:hAnsi="宋体" w:eastAsia="宋体" w:cs="宋体"/>
          <w:bCs/>
          <w:color w:val="000000"/>
          <w:sz w:val="24"/>
          <w:szCs w:val="24"/>
          <w:highlight w:val="none"/>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671"/>
        <w:ind w:right="0" w:firstLine="48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663"/>
        <w:ind w:right="0"/>
        <w:jc w:val="left"/>
        <w:keepLines w:val="0"/>
        <w:keepNext w:val="0"/>
        <w:pageBreakBefore/>
        <w:spacing w:line="640" w:lineRule="exact"/>
        <w:rPr>
          <w:rFonts w:hint="eastAsia" w:ascii="宋体" w:hAnsi="宋体" w:eastAsia="宋体" w:cs="宋体"/>
          <w:b/>
          <w:sz w:val="28"/>
          <w:szCs w:val="28"/>
          <w:highlight w:val="none"/>
        </w:rPr>
        <w:outlineLvl w:val="9"/>
      </w:pPr>
      <w:r/>
      <w:bookmarkStart w:id="38" w:name="_Toc7099"/>
      <w:r>
        <w:rPr>
          <w:rFonts w:hint="eastAsia" w:ascii="宋体" w:hAnsi="宋体" w:eastAsia="宋体" w:cs="宋体"/>
          <w:b/>
          <w:sz w:val="28"/>
          <w:szCs w:val="28"/>
          <w:highlight w:val="none"/>
        </w:rPr>
        <w:t xml:space="preserve">示范格式五</w:t>
      </w:r>
      <w:bookmarkEnd w:id="38"/>
      <w:r>
        <w:rPr>
          <w:rFonts w:hint="eastAsia" w:ascii="宋体" w:hAnsi="宋体" w:eastAsia="宋体" w:cs="宋体"/>
          <w:b/>
          <w:sz w:val="28"/>
          <w:szCs w:val="28"/>
          <w:highlight w:val="none"/>
        </w:rPr>
      </w:r>
      <w:r/>
    </w:p>
    <w:p>
      <w:pPr>
        <w:pStyle w:val="663"/>
        <w:ind w:right="0"/>
        <w:jc w:val="center"/>
        <w:keepLines w:val="0"/>
        <w:keepNext w:val="0"/>
        <w:spacing w:line="640" w:lineRule="exact"/>
        <w:widowControl/>
        <w:rPr>
          <w:rFonts w:hint="eastAsia" w:ascii="宋体" w:hAnsi="宋体" w:eastAsia="宋体" w:cs="宋体"/>
          <w:sz w:val="32"/>
          <w:szCs w:val="32"/>
          <w:highlight w:val="none"/>
        </w:rPr>
        <w:outlineLvl w:val="9"/>
      </w:pPr>
      <w:r/>
      <w:bookmarkStart w:id="39" w:name="_Toc7212"/>
      <w:r>
        <w:rPr>
          <w:rFonts w:hint="eastAsia" w:ascii="宋体" w:hAnsi="宋体" w:eastAsia="宋体" w:cs="宋体"/>
          <w:b/>
          <w:bCs/>
          <w:color w:val="000000"/>
          <w:sz w:val="32"/>
          <w:szCs w:val="32"/>
          <w:highlight w:val="none"/>
        </w:rPr>
        <w:t xml:space="preserve">残疾人福利性单位声明函</w:t>
      </w:r>
      <w:bookmarkEnd w:id="39"/>
      <w:r>
        <w:rPr>
          <w:rFonts w:hint="eastAsia" w:ascii="宋体" w:hAnsi="宋体" w:eastAsia="宋体" w:cs="宋体"/>
          <w:sz w:val="32"/>
          <w:szCs w:val="32"/>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1、根据《财政部 民政部 中国残疾人联合会关于促进残疾人就业政府采购政策的通知》（财库〔2017〕141号）规定的划分标准，本公司为残疾人福利性企业。</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本公司对上述声明的真实性负责。如有虚假，将依法承担相应责任。</w:t>
      </w:r>
      <w:r>
        <w:rPr>
          <w:rFonts w:hint="eastAsia" w:ascii="宋体" w:hAnsi="宋体" w:eastAsia="宋体" w:cs="宋体"/>
          <w:bCs/>
          <w:color w:val="000000"/>
          <w:sz w:val="24"/>
          <w:szCs w:val="24"/>
          <w:highlight w:val="none"/>
        </w:rPr>
      </w:r>
      <w:r/>
    </w:p>
    <w:p>
      <w:pPr>
        <w:pStyle w:val="671"/>
        <w:ind w:right="0" w:firstLine="56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rPr>
          <w:rFonts w:hint="eastAsia" w:ascii="宋体" w:hAnsi="宋体" w:eastAsia="宋体" w:cs="宋体"/>
          <w:sz w:val="24"/>
          <w:szCs w:val="24"/>
          <w:highlight w:val="none"/>
          <w:lang w:val="zh-CN"/>
        </w:rPr>
      </w:r>
      <w:r/>
    </w:p>
    <w:p>
      <w:pPr>
        <w:pStyle w:val="663"/>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663"/>
        <w:ind w:right="0" w:firstLine="484"/>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w:t>
      </w:r>
      <w:r>
        <w:rPr>
          <w:rFonts w:hint="eastAsia" w:ascii="宋体" w:hAnsi="宋体" w:eastAsia="宋体" w:cs="宋体"/>
          <w:color w:val="000000"/>
          <w:sz w:val="24"/>
          <w:szCs w:val="24"/>
          <w:highlight w:val="none"/>
        </w:rPr>
        <w:t xml:space="preserve">残疾人福利性单位不</w:t>
      </w:r>
      <w:r>
        <w:rPr>
          <w:rFonts w:hint="eastAsia" w:ascii="宋体" w:hAnsi="宋体" w:eastAsia="宋体" w:cs="宋体"/>
          <w:sz w:val="24"/>
          <w:szCs w:val="24"/>
          <w:highlight w:val="none"/>
        </w:rPr>
        <w:t xml:space="preserve">需提供此函。</w:t>
      </w:r>
      <w:r>
        <w:rPr>
          <w:rFonts w:hint="eastAsia" w:ascii="宋体" w:hAnsi="宋体" w:eastAsia="宋体" w:cs="宋体"/>
          <w:sz w:val="24"/>
          <w:szCs w:val="24"/>
          <w:highlight w:val="none"/>
        </w:rPr>
      </w:r>
      <w:r/>
    </w:p>
    <w:p>
      <w:pPr>
        <w:pStyle w:val="663"/>
        <w:ind w:right="0"/>
        <w:jc w:val="center"/>
        <w:keepLines w:val="0"/>
        <w:keepNext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663"/>
        <w:ind w:right="0" w:firstLine="548"/>
        <w:keepLines w:val="0"/>
        <w:keepNext w:val="0"/>
        <w:spacing w:line="52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pStyle w:val="663"/>
        <w:ind w:right="0"/>
        <w:jc w:val="left"/>
        <w:keepLines w:val="0"/>
        <w:keepNext w:val="0"/>
        <w:pageBreakBefore/>
        <w:spacing w:line="640" w:lineRule="exact"/>
        <w:rPr>
          <w:rFonts w:hint="eastAsia" w:ascii="宋体" w:hAnsi="宋体" w:eastAsia="宋体" w:cs="宋体"/>
          <w:highlight w:val="none"/>
        </w:rPr>
        <w:outlineLvl w:val="9"/>
      </w:pPr>
      <w:r/>
      <w:bookmarkStart w:id="40" w:name="_Toc20345"/>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六</w:t>
      </w:r>
      <w:bookmarkEnd w:id="40"/>
      <w:r>
        <w:rPr>
          <w:rFonts w:hint="eastAsia" w:ascii="宋体" w:hAnsi="宋体" w:eastAsia="宋体" w:cs="宋体"/>
          <w:highlight w:val="none"/>
        </w:rPr>
      </w:r>
      <w:r/>
    </w:p>
    <w:p>
      <w:pPr>
        <w:pStyle w:val="663"/>
        <w:ind w:right="0"/>
        <w:jc w:val="center"/>
        <w:keepLines w:val="0"/>
        <w:keepNext w:val="0"/>
        <w:spacing w:line="6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承 诺 书</w:t>
      </w:r>
      <w:r>
        <w:rPr>
          <w:rFonts w:hint="eastAsia" w:ascii="宋体" w:hAnsi="宋体" w:eastAsia="宋体" w:cs="宋体"/>
          <w:b/>
          <w:sz w:val="32"/>
          <w:szCs w:val="32"/>
          <w:highlight w:val="none"/>
        </w:rPr>
      </w:r>
      <w:r/>
    </w:p>
    <w:p>
      <w:pPr>
        <w:pStyle w:val="663"/>
        <w:ind w:right="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我单位参加本次采购活动，未存在以下情形，承诺如下：</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rPr>
          <w:rFonts w:hint="eastAsia" w:ascii="宋体" w:hAnsi="宋体" w:eastAsia="宋体" w:cs="宋体"/>
          <w:sz w:val="24"/>
          <w:highlight w:val="none"/>
        </w:rPr>
      </w:r>
      <w:r/>
    </w:p>
    <w:p>
      <w:pPr>
        <w:pStyle w:val="663"/>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rPr>
          <w:rFonts w:hint="eastAsia" w:ascii="宋体" w:hAnsi="宋体" w:eastAsia="宋体" w:cs="宋体"/>
          <w:sz w:val="24"/>
          <w:highlight w:val="none"/>
        </w:rPr>
      </w:r>
      <w:r/>
    </w:p>
    <w:p>
      <w:pPr>
        <w:pStyle w:val="663"/>
        <w:ind w:right="0" w:firstLine="480"/>
        <w:keepLines w:val="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63"/>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63"/>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663"/>
        <w:ind w:left="-359" w:right="0" w:firstLine="234"/>
        <w:keepLines w:val="0"/>
        <w:keepNext w:val="0"/>
        <w:spacing w:line="64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pStyle w:val="663"/>
        <w:ind w:right="0"/>
        <w:keepLines w:val="0"/>
        <w:keepNext w:val="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3"/>
        <w:ind w:right="0"/>
        <w:jc w:val="left"/>
        <w:keepLines w:val="0"/>
        <w:keepNext w:val="0"/>
        <w:pageBreakBefore/>
        <w:spacing w:line="640" w:lineRule="exact"/>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七</w:t>
      </w:r>
      <w:r>
        <w:rPr>
          <w:rFonts w:hint="eastAsia" w:ascii="宋体" w:hAnsi="宋体" w:eastAsia="宋体" w:cs="宋体"/>
          <w:b/>
          <w:bCs/>
          <w:color w:val="000000"/>
          <w:sz w:val="32"/>
          <w:szCs w:val="32"/>
          <w:highlight w:val="none"/>
          <w:lang w:val="en-US" w:eastAsia="zh-CN"/>
        </w:rPr>
      </w:r>
      <w:r/>
    </w:p>
    <w:p>
      <w:pPr>
        <w:pStyle w:val="663"/>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关于符合本国产品标准的声明函（采购包号：**）</w:t>
      </w:r>
      <w:r>
        <w:rPr>
          <w:rFonts w:hint="eastAsia" w:ascii="宋体" w:hAnsi="宋体" w:eastAsia="宋体" w:cs="宋体"/>
          <w:b/>
          <w:bCs/>
          <w:color w:val="000000"/>
          <w:sz w:val="32"/>
          <w:szCs w:val="32"/>
          <w:highlight w:val="none"/>
        </w:rPr>
      </w:r>
      <w:r/>
    </w:p>
    <w:p>
      <w:pPr>
        <w:pStyle w:val="69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Style w:val="697"/>
          <w:rFonts w:hint="eastAsia" w:ascii="宋体" w:hAnsi="宋体" w:eastAsia="宋体" w:cs="宋体"/>
          <w:i w:val="0"/>
          <w:color w:val="000000"/>
          <w:sz w:val="24"/>
          <w:szCs w:val="24"/>
          <w:u w:val="single"/>
          <w:shd w:val="clear" w:color="auto" w:fill="ffffff"/>
        </w:rPr>
        <w:t xml:space="preserve">（产品名称1）</w:t>
      </w:r>
      <w:r>
        <w:rPr>
          <w:rStyle w:val="697"/>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697"/>
          <w:rFonts w:hint="eastAsia" w:ascii="宋体" w:hAnsi="宋体" w:eastAsia="宋体" w:cs="宋体"/>
          <w:i w:val="0"/>
          <w:color w:val="000000"/>
          <w:sz w:val="24"/>
          <w:szCs w:val="24"/>
          <w:u w:val="single"/>
          <w:shd w:val="clear" w:color="auto" w:fill="ffffff"/>
        </w:rPr>
        <w:t xml:space="preserve">（厂名）</w:t>
      </w:r>
      <w:r>
        <w:rPr>
          <w:rStyle w:val="697"/>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69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Style w:val="697"/>
          <w:rFonts w:hint="eastAsia" w:ascii="宋体" w:hAnsi="宋体" w:eastAsia="宋体" w:cs="宋体"/>
          <w:i w:val="0"/>
          <w:strike/>
          <w:color w:val="000000"/>
          <w:sz w:val="24"/>
          <w:szCs w:val="24"/>
          <w:u w:val="single"/>
          <w:shd w:val="clear" w:color="auto" w:fill="ffffff"/>
        </w:rPr>
        <w:t xml:space="preserve">（规定比例）</w:t>
      </w:r>
      <w:r>
        <w:rPr>
          <w:rStyle w:val="697"/>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（关键工序）</w:t>
      </w:r>
      <w:r>
        <w:rPr>
          <w:rStyle w:val="697"/>
          <w:rFonts w:hint="eastAsia" w:ascii="宋体" w:hAnsi="宋体" w:eastAsia="宋体" w:cs="宋体"/>
          <w:i w:val="0"/>
          <w:strike/>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Style w:val="69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697"/>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69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697"/>
          <w:rFonts w:hint="eastAsia" w:ascii="宋体" w:hAnsi="宋体" w:eastAsia="宋体" w:cs="宋体"/>
          <w:i w:val="0"/>
          <w:strike/>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697"/>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697"/>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697"/>
          <w:rFonts w:hint="eastAsia" w:ascii="宋体" w:hAnsi="宋体" w:eastAsia="宋体" w:cs="宋体"/>
          <w:i w:val="0"/>
          <w:strike/>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　        </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日期：　   年　  月　  日         </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__________________</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690"/>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横线</w:t>
      </w:r>
      <w:r>
        <w:rPr>
          <w:rFonts w:hint="eastAsia" w:ascii="宋体" w:hAnsi="宋体" w:eastAsia="宋体" w:cs="宋体"/>
          <w:color w:val="000000"/>
          <w:sz w:val="24"/>
          <w:szCs w:val="24"/>
          <w:shd w:val="clear" w:color="auto" w:fill="ffffff"/>
        </w:rPr>
        <w:t xml:space="preserve">划除的地方无需填写。</w:t>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华文彩云">
    <w:panose1 w:val="02010800040101010101"/>
  </w:font>
  <w:font w:name="Wingdings">
    <w:panose1 w:val="05000000000000000000"/>
  </w:font>
  <w:font w:name="Segoe Print">
    <w:panose1 w:val="02000600000000000000"/>
  </w:font>
  <w:font w:name="Tahoma">
    <w:panose1 w:val="020B0604030504040204"/>
  </w:font>
  <w:font w:name="方正仿宋简体">
    <w:panose1 w:val="020B0503020202020204"/>
  </w:font>
  <w:font w:name="Calibri">
    <w:panose1 w:val="020F0502020204030204"/>
  </w:font>
  <w:font w:name="Courier New">
    <w:panose1 w:val="02070309020205020404"/>
  </w:font>
  <w:font w:name="Verdana">
    <w:panose1 w:val="020B0604030504040204"/>
  </w:font>
  <w:font w:name="黑体">
    <w:panose1 w:val="02010609060101010101"/>
  </w:font>
  <w:font w:name="华文行楷">
    <w:panose1 w:val="02010800040101010101"/>
  </w:font>
  <w:font w:name="仿宋">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end"/>
    </w:r>
    <w:r>
      <w:rPr>
        <w:rStyle w:val="695"/>
      </w:rPr>
    </w:r>
    <w:r/>
  </w:p>
  <w:p>
    <w:pPr>
      <w:pStyle w:val="6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rStyle w:val="695"/>
      </w:rPr>
      <w:framePr w:wrap="around" w:vAnchor="text" w:hAnchor="margin" w:xAlign="center" w:y="1"/>
    </w:pPr>
    <w:r>
      <w:fldChar w:fldCharType="begin"/>
    </w:r>
    <w:r>
      <w:rPr>
        <w:rStyle w:val="695"/>
      </w:rPr>
      <w:instrText xml:space="preserve">PAGE  </w:instrText>
    </w:r>
    <w:r>
      <w:fldChar w:fldCharType="separate"/>
    </w:r>
    <w:r>
      <w:rPr>
        <w:rStyle w:val="695"/>
      </w:rPr>
      <w:t xml:space="preserve">20</w:t>
    </w:r>
    <w:r>
      <w:fldChar w:fldCharType="end"/>
    </w:r>
    <w:r>
      <w:rPr>
        <w:rStyle w:val="695"/>
      </w:rPr>
    </w:r>
    <w:r/>
  </w:p>
  <w:p>
    <w:pPr>
      <w:pStyle w:val="6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w:t>
    </w:r>
    <w:r>
      <w:rPr>
        <w:rFonts w:hint="eastAsia" w:ascii="华文行楷" w:hAnsi="黑体" w:eastAsia="华文行楷"/>
        <w:sz w:val="28"/>
        <w:szCs w:val="28"/>
        <w:lang w:val="en-US" w:eastAsia="zh-CN"/>
      </w:rPr>
      <w:t xml:space="preserve">公开招标</w:t>
    </w:r>
    <w:r>
      <w:rPr>
        <w:rFonts w:hint="eastAsia" w:ascii="华文行楷" w:hAnsi="黑体" w:eastAsia="华文行楷"/>
        <w:sz w:val="28"/>
        <w:szCs w:val="28"/>
      </w:rPr>
      <w:t xml:space="preserve">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664"/>
      <w:isLgl w:val="false"/>
      <w:suff w:val="tab"/>
      <w:lvlText w:val="%1"/>
      <w:lvlJc w:val="left"/>
      <w:pPr>
        <w:pStyle w:val="663"/>
        <w:ind w:left="432" w:hanging="432"/>
        <w:tabs>
          <w:tab w:val="num" w:pos="432" w:leader="none"/>
        </w:tabs>
      </w:pPr>
    </w:lvl>
    <w:lvl w:ilvl="1">
      <w:start w:val="1"/>
      <w:numFmt w:val="decimal"/>
      <w:isLgl w:val="false"/>
      <w:suff w:val="tab"/>
      <w:lvlText w:val="%1.%2"/>
      <w:lvlJc w:val="left"/>
      <w:pPr>
        <w:pStyle w:val="663"/>
        <w:ind w:left="576" w:hanging="576"/>
        <w:tabs>
          <w:tab w:val="num" w:pos="576" w:leader="none"/>
        </w:tabs>
      </w:pPr>
    </w:lvl>
    <w:lvl w:ilvl="2">
      <w:start w:val="1"/>
      <w:numFmt w:val="decimal"/>
      <w:pStyle w:val="665"/>
      <w:isLgl w:val="false"/>
      <w:suff w:val="tab"/>
      <w:lvlText w:val="%1.%2.%3"/>
      <w:lvlJc w:val="left"/>
      <w:pPr>
        <w:pStyle w:val="663"/>
        <w:ind w:left="720" w:hanging="720"/>
        <w:tabs>
          <w:tab w:val="num" w:pos="720" w:leader="none"/>
        </w:tabs>
      </w:pPr>
    </w:lvl>
    <w:lvl w:ilvl="3">
      <w:start w:val="1"/>
      <w:numFmt w:val="decimal"/>
      <w:isLgl w:val="false"/>
      <w:suff w:val="tab"/>
      <w:lvlText w:val="%1.%2.%3.%4"/>
      <w:lvlJc w:val="left"/>
      <w:pPr>
        <w:pStyle w:val="663"/>
        <w:ind w:left="864" w:hanging="864"/>
        <w:tabs>
          <w:tab w:val="num" w:pos="864" w:leader="none"/>
        </w:tabs>
      </w:pPr>
    </w:lvl>
    <w:lvl w:ilvl="4">
      <w:start w:val="1"/>
      <w:numFmt w:val="decimal"/>
      <w:isLgl w:val="false"/>
      <w:suff w:val="tab"/>
      <w:lvlText w:val="%1.%2.%3.%4.%5"/>
      <w:lvlJc w:val="left"/>
      <w:pPr>
        <w:pStyle w:val="663"/>
        <w:ind w:left="1008" w:hanging="1008"/>
        <w:tabs>
          <w:tab w:val="num" w:pos="1008" w:leader="none"/>
        </w:tabs>
      </w:pPr>
    </w:lvl>
    <w:lvl w:ilvl="5">
      <w:start w:val="1"/>
      <w:numFmt w:val="decimal"/>
      <w:isLgl w:val="false"/>
      <w:suff w:val="tab"/>
      <w:lvlText w:val="%1.%2.%3.%4.%5.%6"/>
      <w:lvlJc w:val="left"/>
      <w:pPr>
        <w:pStyle w:val="663"/>
        <w:ind w:left="1152" w:hanging="1152"/>
        <w:tabs>
          <w:tab w:val="num" w:pos="1152" w:leader="none"/>
        </w:tabs>
      </w:pPr>
    </w:lvl>
    <w:lvl w:ilvl="6">
      <w:start w:val="1"/>
      <w:numFmt w:val="decimal"/>
      <w:isLgl w:val="false"/>
      <w:suff w:val="tab"/>
      <w:lvlText w:val="%1.%2.%3.%4.%5.%6.%7"/>
      <w:lvlJc w:val="left"/>
      <w:pPr>
        <w:pStyle w:val="663"/>
        <w:ind w:left="1296" w:hanging="1296"/>
        <w:tabs>
          <w:tab w:val="num" w:pos="1296" w:leader="none"/>
        </w:tabs>
      </w:pPr>
    </w:lvl>
    <w:lvl w:ilvl="7">
      <w:start w:val="1"/>
      <w:numFmt w:val="decimal"/>
      <w:isLgl w:val="false"/>
      <w:suff w:val="tab"/>
      <w:lvlText w:val="%1.%2.%3.%4.%5.%6.%7.%8"/>
      <w:lvlJc w:val="left"/>
      <w:pPr>
        <w:pStyle w:val="663"/>
        <w:ind w:left="1440" w:hanging="1440"/>
        <w:tabs>
          <w:tab w:val="num" w:pos="1440" w:leader="none"/>
        </w:tabs>
      </w:pPr>
    </w:lvl>
    <w:lvl w:ilvl="8">
      <w:start w:val="1"/>
      <w:numFmt w:val="decimal"/>
      <w:isLgl w:val="false"/>
      <w:suff w:val="tab"/>
      <w:lvlText w:val="%1.%2.%3.%4.%5.%6.%7.%8.%9"/>
      <w:lvlJc w:val="left"/>
      <w:pPr>
        <w:pStyle w:val="663"/>
        <w:ind w:left="1584" w:hanging="1584"/>
        <w:tabs>
          <w:tab w:val="num" w:pos="1584" w:leader="none"/>
        </w:tabs>
      </w:pPr>
    </w:lvl>
  </w:abstractNum>
  <w:abstractNum w:abstractNumId="5">
    <w:multiLevelType w:val="hybridMultilevel"/>
    <w:lvl w:ilvl="0">
      <w:start w:val="1"/>
      <w:numFmt w:val="chineseCounting"/>
      <w:isLgl w:val="false"/>
      <w:suff w:val="nothing"/>
      <w:lvlText w:val="%1、"/>
      <w:lvlJc w:val="left"/>
      <w:pPr>
        <w:pStyle w:val="6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6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3"/>
  </w:num>
  <w:num w:numId="5">
    <w:abstractNumId w:val="6"/>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3"/>
    <w:next w:val="6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3"/>
    <w:next w:val="6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3"/>
    <w:next w:val="6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3"/>
    <w:next w:val="6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3"/>
    <w:next w:val="6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3"/>
    <w:next w:val="66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3"/>
    <w:next w:val="663"/>
    <w:uiPriority w:val="39"/>
    <w:unhideWhenUsed/>
    <w:pPr>
      <w:ind w:left="0" w:right="0" w:firstLine="0"/>
      <w:spacing w:after="57"/>
    </w:pPr>
  </w:style>
  <w:style w:type="paragraph" w:styleId="181">
    <w:name w:val="toc 2"/>
    <w:basedOn w:val="663"/>
    <w:next w:val="663"/>
    <w:uiPriority w:val="39"/>
    <w:unhideWhenUsed/>
    <w:pPr>
      <w:ind w:left="283" w:right="0" w:firstLine="0"/>
      <w:spacing w:after="57"/>
    </w:pPr>
  </w:style>
  <w:style w:type="paragraph" w:styleId="182">
    <w:name w:val="toc 3"/>
    <w:basedOn w:val="663"/>
    <w:next w:val="663"/>
    <w:uiPriority w:val="39"/>
    <w:unhideWhenUsed/>
    <w:pPr>
      <w:ind w:left="567" w:right="0" w:firstLine="0"/>
      <w:spacing w:after="57"/>
    </w:pPr>
  </w:style>
  <w:style w:type="paragraph" w:styleId="183">
    <w:name w:val="toc 4"/>
    <w:basedOn w:val="663"/>
    <w:next w:val="663"/>
    <w:uiPriority w:val="39"/>
    <w:unhideWhenUsed/>
    <w:pPr>
      <w:ind w:left="850" w:right="0" w:firstLine="0"/>
      <w:spacing w:after="57"/>
    </w:pPr>
  </w:style>
  <w:style w:type="paragraph" w:styleId="184">
    <w:name w:val="toc 5"/>
    <w:basedOn w:val="663"/>
    <w:next w:val="663"/>
    <w:uiPriority w:val="39"/>
    <w:unhideWhenUsed/>
    <w:pPr>
      <w:ind w:left="1134" w:right="0" w:firstLine="0"/>
      <w:spacing w:after="57"/>
    </w:pPr>
  </w:style>
  <w:style w:type="paragraph" w:styleId="185">
    <w:name w:val="toc 6"/>
    <w:basedOn w:val="663"/>
    <w:next w:val="663"/>
    <w:uiPriority w:val="39"/>
    <w:unhideWhenUsed/>
    <w:pPr>
      <w:ind w:left="1417" w:right="0" w:firstLine="0"/>
      <w:spacing w:after="57"/>
    </w:pPr>
  </w:style>
  <w:style w:type="paragraph" w:styleId="186">
    <w:name w:val="toc 7"/>
    <w:basedOn w:val="663"/>
    <w:next w:val="663"/>
    <w:uiPriority w:val="39"/>
    <w:unhideWhenUsed/>
    <w:pPr>
      <w:ind w:left="1701" w:right="0" w:firstLine="0"/>
      <w:spacing w:after="57"/>
    </w:pPr>
  </w:style>
  <w:style w:type="paragraph" w:styleId="187">
    <w:name w:val="toc 8"/>
    <w:basedOn w:val="663"/>
    <w:next w:val="663"/>
    <w:uiPriority w:val="39"/>
    <w:unhideWhenUsed/>
    <w:pPr>
      <w:ind w:left="1984" w:right="0" w:firstLine="0"/>
      <w:spacing w:after="57"/>
    </w:pPr>
  </w:style>
  <w:style w:type="paragraph" w:styleId="188">
    <w:name w:val="toc 9"/>
    <w:basedOn w:val="663"/>
    <w:next w:val="6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next w:val="663"/>
    <w:link w:val="663"/>
    <w:qFormat/>
    <w:pPr>
      <w:jc w:val="both"/>
      <w:widowControl w:val="off"/>
    </w:pPr>
    <w:rPr>
      <w:sz w:val="21"/>
      <w:szCs w:val="24"/>
      <w:lang w:val="en-US" w:eastAsia="zh-CN" w:bidi="ar-SA"/>
    </w:rPr>
  </w:style>
  <w:style w:type="paragraph" w:styleId="664">
    <w:name w:val="标题 1"/>
    <w:basedOn w:val="663"/>
    <w:next w:val="663"/>
    <w:link w:val="663"/>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65">
    <w:name w:val="标题 3"/>
    <w:basedOn w:val="663"/>
    <w:next w:val="671"/>
    <w:link w:val="663"/>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66">
    <w:name w:val="标题 4"/>
    <w:basedOn w:val="663"/>
    <w:next w:val="663"/>
    <w:link w:val="663"/>
    <w:unhideWhenUsed/>
    <w:qFormat/>
    <w:pPr>
      <w:jc w:val="left"/>
      <w:spacing w:before="100" w:beforeAutospacing="1" w:after="100" w:afterAutospacing="1"/>
      <w:outlineLvl w:val="3"/>
    </w:pPr>
    <w:rPr>
      <w:rFonts w:hint="eastAsia" w:ascii="宋体" w:hAnsi="宋体" w:eastAsia="宋体" w:cs="宋体"/>
      <w:b/>
      <w:bCs/>
      <w:sz w:val="24"/>
      <w:szCs w:val="24"/>
      <w:lang w:val="en-US" w:eastAsia="zh-CN" w:bidi="ar"/>
    </w:rPr>
  </w:style>
  <w:style w:type="paragraph" w:styleId="667">
    <w:name w:val="标题 5"/>
    <w:basedOn w:val="663"/>
    <w:next w:val="663"/>
    <w:link w:val="663"/>
    <w:uiPriority w:val="1"/>
    <w:qFormat/>
    <w:pPr>
      <w:ind w:left="522"/>
      <w:outlineLvl w:val="4"/>
    </w:pPr>
    <w:rPr>
      <w:rFonts w:ascii="仿宋" w:hAnsi="仿宋" w:eastAsia="仿宋" w:cs="仿宋"/>
      <w:b/>
      <w:bCs/>
      <w:sz w:val="28"/>
      <w:szCs w:val="28"/>
      <w:lang w:val="zh-CN" w:eastAsia="zh-CN" w:bidi="zh-CN"/>
    </w:rPr>
  </w:style>
  <w:style w:type="paragraph" w:styleId="668">
    <w:name w:val="标题 8"/>
    <w:basedOn w:val="663"/>
    <w:next w:val="663"/>
    <w:link w:val="663"/>
    <w:qFormat/>
    <w:pPr>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4"/>
    </w:rPr>
  </w:style>
  <w:style w:type="character" w:styleId="669">
    <w:name w:val="默认段落字体"/>
    <w:next w:val="669"/>
    <w:link w:val="663"/>
    <w:semiHidden/>
  </w:style>
  <w:style w:type="table" w:styleId="670">
    <w:name w:val="普通表格"/>
    <w:next w:val="670"/>
    <w:link w:val="663"/>
    <w:semiHidden/>
    <w:tblPr/>
  </w:style>
  <w:style w:type="paragraph" w:styleId="671">
    <w:name w:val="正文缩进"/>
    <w:basedOn w:val="663"/>
    <w:next w:val="671"/>
    <w:link w:val="672"/>
    <w:pPr>
      <w:ind w:firstLine="420"/>
    </w:pPr>
  </w:style>
  <w:style w:type="character" w:styleId="672">
    <w:name w:val="正文缩进 Char"/>
    <w:next w:val="672"/>
    <w:link w:val="671"/>
    <w:rPr>
      <w:sz w:val="21"/>
      <w:szCs w:val="24"/>
    </w:rPr>
  </w:style>
  <w:style w:type="paragraph" w:styleId="673">
    <w:name w:val="文档结构图"/>
    <w:basedOn w:val="663"/>
    <w:next w:val="673"/>
    <w:link w:val="663"/>
    <w:semiHidden/>
    <w:pPr>
      <w:shd w:val="clear" w:color="auto" w:fill="000080"/>
    </w:pPr>
  </w:style>
  <w:style w:type="paragraph" w:styleId="674">
    <w:name w:val="正文文本 3"/>
    <w:basedOn w:val="663"/>
    <w:next w:val="674"/>
    <w:link w:val="663"/>
    <w:pPr>
      <w:jc w:val="center"/>
    </w:pPr>
    <w:rPr>
      <w:rFonts w:eastAsia="黑体"/>
      <w:sz w:val="72"/>
    </w:rPr>
  </w:style>
  <w:style w:type="paragraph" w:styleId="675">
    <w:name w:val="正文文本"/>
    <w:basedOn w:val="663"/>
    <w:next w:val="675"/>
    <w:link w:val="663"/>
    <w:pPr>
      <w:jc w:val="center"/>
    </w:pPr>
    <w:rPr>
      <w:rFonts w:eastAsia="仿宋"/>
      <w:sz w:val="28"/>
    </w:rPr>
  </w:style>
  <w:style w:type="paragraph" w:styleId="676">
    <w:name w:val="正文文本缩进"/>
    <w:basedOn w:val="663"/>
    <w:next w:val="678"/>
    <w:link w:val="677"/>
    <w:pPr>
      <w:ind w:left="420"/>
      <w:spacing w:after="120"/>
    </w:pPr>
  </w:style>
  <w:style w:type="character" w:styleId="677">
    <w:name w:val="正文文本缩进 Char"/>
    <w:next w:val="677"/>
    <w:link w:val="676"/>
    <w:rPr>
      <w:sz w:val="21"/>
      <w:szCs w:val="24"/>
    </w:rPr>
  </w:style>
  <w:style w:type="paragraph" w:styleId="678">
    <w:name w:val="寄信人地址"/>
    <w:basedOn w:val="663"/>
    <w:next w:val="678"/>
    <w:link w:val="663"/>
    <w:qFormat/>
    <w:rPr>
      <w:rFonts w:ascii="Arial" w:hAnsi="Arial" w:eastAsia="宋体" w:cs="Times New Roman"/>
    </w:rPr>
  </w:style>
  <w:style w:type="paragraph" w:styleId="679">
    <w:name w:val="文本块"/>
    <w:basedOn w:val="663"/>
    <w:next w:val="679"/>
    <w:link w:val="663"/>
    <w:pPr>
      <w:ind w:left="420" w:right="33"/>
      <w:jc w:val="left"/>
    </w:pPr>
    <w:rPr>
      <w:sz w:val="24"/>
      <w:szCs w:val="20"/>
    </w:rPr>
  </w:style>
  <w:style w:type="paragraph" w:styleId="680">
    <w:name w:val="纯文本"/>
    <w:basedOn w:val="663"/>
    <w:next w:val="680"/>
    <w:link w:val="681"/>
    <w:rPr>
      <w:rFonts w:ascii="宋体" w:hAnsi="Courier New"/>
      <w:szCs w:val="20"/>
    </w:rPr>
  </w:style>
  <w:style w:type="character" w:styleId="681">
    <w:name w:val="纯文本 Char"/>
    <w:next w:val="681"/>
    <w:link w:val="680"/>
    <w:rPr>
      <w:rFonts w:ascii="宋体" w:hAnsi="Courier New" w:eastAsia="宋体"/>
      <w:sz w:val="21"/>
      <w:lang w:val="en-US" w:eastAsia="zh-CN" w:bidi="ar-SA"/>
    </w:rPr>
  </w:style>
  <w:style w:type="paragraph" w:styleId="682">
    <w:name w:val="日期"/>
    <w:basedOn w:val="663"/>
    <w:next w:val="663"/>
    <w:link w:val="663"/>
    <w:pPr>
      <w:ind w:left="100"/>
    </w:pPr>
    <w:rPr>
      <w:rFonts w:ascii="黑体" w:eastAsia="黑体"/>
      <w:sz w:val="72"/>
    </w:rPr>
  </w:style>
  <w:style w:type="paragraph" w:styleId="683">
    <w:name w:val="正文文本缩进 2"/>
    <w:basedOn w:val="663"/>
    <w:next w:val="683"/>
    <w:link w:val="663"/>
    <w:pPr>
      <w:ind w:right="-2" w:firstLine="540"/>
      <w:tabs>
        <w:tab w:val="left" w:pos="9741" w:leader="none"/>
      </w:tabs>
    </w:pPr>
    <w:rPr>
      <w:rFonts w:eastAsia="仿宋"/>
      <w:sz w:val="28"/>
    </w:rPr>
  </w:style>
  <w:style w:type="paragraph" w:styleId="684">
    <w:name w:val="批注框文本"/>
    <w:basedOn w:val="663"/>
    <w:next w:val="684"/>
    <w:link w:val="663"/>
    <w:semiHidden/>
    <w:rPr>
      <w:sz w:val="18"/>
      <w:szCs w:val="18"/>
    </w:rPr>
  </w:style>
  <w:style w:type="paragraph" w:styleId="685">
    <w:name w:val="页脚"/>
    <w:basedOn w:val="663"/>
    <w:next w:val="685"/>
    <w:link w:val="663"/>
    <w:pPr>
      <w:jc w:val="left"/>
      <w:tabs>
        <w:tab w:val="center" w:pos="4153" w:leader="none"/>
        <w:tab w:val="right" w:pos="8306" w:leader="none"/>
      </w:tabs>
    </w:pPr>
    <w:rPr>
      <w:sz w:val="18"/>
      <w:szCs w:val="18"/>
    </w:rPr>
  </w:style>
  <w:style w:type="paragraph" w:styleId="686">
    <w:name w:val="页眉"/>
    <w:basedOn w:val="663"/>
    <w:next w:val="686"/>
    <w:link w:val="663"/>
    <w:pPr>
      <w:jc w:val="center"/>
      <w:tabs>
        <w:tab w:val="center" w:pos="4153" w:leader="none"/>
        <w:tab w:val="right" w:pos="8306" w:leader="none"/>
      </w:tabs>
      <w:pBdr>
        <w:bottom w:val="single" w:color="000000" w:sz="6" w:space="1"/>
      </w:pBdr>
    </w:pPr>
    <w:rPr>
      <w:sz w:val="18"/>
      <w:szCs w:val="18"/>
    </w:rPr>
  </w:style>
  <w:style w:type="paragraph" w:styleId="687">
    <w:name w:val="目录 1"/>
    <w:basedOn w:val="663"/>
    <w:next w:val="663"/>
    <w:link w:val="663"/>
  </w:style>
  <w:style w:type="paragraph" w:styleId="688">
    <w:name w:val="正文文本缩进 3"/>
    <w:basedOn w:val="663"/>
    <w:next w:val="688"/>
    <w:link w:val="663"/>
    <w:pPr>
      <w:ind w:firstLine="435"/>
    </w:pPr>
    <w:rPr>
      <w:rFonts w:ascii="仿宋" w:hAnsi="宋体" w:eastAsia="仿宋"/>
      <w:sz w:val="28"/>
    </w:rPr>
  </w:style>
  <w:style w:type="paragraph" w:styleId="689">
    <w:name w:val="正文文本 2"/>
    <w:basedOn w:val="663"/>
    <w:next w:val="689"/>
    <w:link w:val="663"/>
    <w:rPr>
      <w:rFonts w:ascii="仿宋" w:eastAsia="仿宋"/>
      <w:sz w:val="28"/>
    </w:rPr>
  </w:style>
  <w:style w:type="paragraph" w:styleId="690">
    <w:name w:val="普通(网站)"/>
    <w:basedOn w:val="663"/>
    <w:next w:val="690"/>
    <w:link w:val="663"/>
    <w:uiPriority w:val="99"/>
    <w:unhideWhenUsed/>
    <w:pPr>
      <w:jc w:val="left"/>
      <w:spacing w:before="100" w:beforeAutospacing="1" w:after="100" w:afterAutospacing="1"/>
    </w:pPr>
    <w:rPr>
      <w:sz w:val="24"/>
      <w:szCs w:val="20"/>
    </w:rPr>
  </w:style>
  <w:style w:type="paragraph" w:styleId="691">
    <w:name w:val="正文首行缩进"/>
    <w:basedOn w:val="675"/>
    <w:next w:val="691"/>
    <w:link w:val="663"/>
    <w:qFormat/>
    <w:pPr>
      <w:ind w:firstLine="420"/>
      <w:spacing w:after="120"/>
    </w:pPr>
    <w:rPr>
      <w:rFonts w:ascii="Times New Roman" w:hAnsi="Times New Roman" w:eastAsia="宋体"/>
      <w:sz w:val="21"/>
      <w:szCs w:val="24"/>
    </w:rPr>
  </w:style>
  <w:style w:type="paragraph" w:styleId="692">
    <w:name w:val="正文首行缩进 2"/>
    <w:basedOn w:val="676"/>
    <w:next w:val="663"/>
    <w:link w:val="693"/>
    <w:pPr>
      <w:ind w:firstLine="420"/>
    </w:pPr>
  </w:style>
  <w:style w:type="character" w:styleId="693">
    <w:name w:val="正文首行缩进 2 Char"/>
    <w:basedOn w:val="677"/>
    <w:next w:val="693"/>
    <w:link w:val="692"/>
  </w:style>
  <w:style w:type="table" w:styleId="694">
    <w:name w:val="网格型"/>
    <w:basedOn w:val="670"/>
    <w:next w:val="694"/>
    <w:link w:val="66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5">
    <w:name w:val="页码"/>
    <w:next w:val="695"/>
    <w:link w:val="663"/>
  </w:style>
  <w:style w:type="character" w:styleId="696">
    <w:name w:val="已访问的超链接"/>
    <w:next w:val="696"/>
    <w:link w:val="663"/>
    <w:rPr>
      <w:color w:val="800080"/>
      <w:u w:val="single"/>
    </w:rPr>
  </w:style>
  <w:style w:type="character" w:styleId="697">
    <w:name w:val="强调"/>
    <w:next w:val="697"/>
    <w:link w:val="663"/>
    <w:qFormat/>
    <w:rPr>
      <w:i/>
    </w:rPr>
  </w:style>
  <w:style w:type="character" w:styleId="698">
    <w:name w:val="超链接"/>
    <w:next w:val="698"/>
    <w:link w:val="663"/>
    <w:rPr>
      <w:color w:val="0000ff"/>
      <w:u w:val="single"/>
    </w:rPr>
  </w:style>
  <w:style w:type="paragraph" w:styleId="699">
    <w:name w:val="标题 31"/>
    <w:basedOn w:val="663"/>
    <w:next w:val="663"/>
    <w:link w:val="663"/>
    <w:uiPriority w:val="9"/>
    <w:qFormat/>
    <w:pPr>
      <w:keepLines/>
      <w:keepNext/>
      <w:spacing w:before="260" w:after="260" w:line="413" w:lineRule="auto"/>
      <w:outlineLvl w:val="2"/>
    </w:pPr>
    <w:rPr>
      <w:rFonts w:ascii="Arial" w:hAnsi="Arial"/>
      <w:b/>
      <w:sz w:val="32"/>
      <w:szCs w:val="20"/>
    </w:rPr>
  </w:style>
  <w:style w:type="paragraph" w:styleId="700">
    <w:name w:val="正文1"/>
    <w:basedOn w:val="663"/>
    <w:next w:val="663"/>
    <w:link w:val="663"/>
    <w:qFormat/>
    <w:pPr>
      <w:contextualSpacing/>
      <w:ind w:firstLine="200"/>
      <w:jc w:val="left"/>
      <w:spacing w:before="120" w:after="120"/>
      <w:widowControl/>
    </w:pPr>
    <w:rPr>
      <w:rFonts w:ascii="Calibri" w:hAnsi="Calibri" w:eastAsia="仿宋" w:cs="Times New Roman"/>
      <w:szCs w:val="21"/>
    </w:rPr>
  </w:style>
  <w:style w:type="character" w:styleId="701">
    <w:name w:val="纯文本 Char1, Char Char,普通文字 Char Char,纯文本 Char Char,小 Char1"/>
    <w:next w:val="701"/>
    <w:link w:val="663"/>
    <w:rPr>
      <w:rFonts w:ascii="宋体" w:hAnsi="Courier New"/>
      <w:sz w:val="21"/>
    </w:rPr>
  </w:style>
  <w:style w:type="paragraph" w:styleId="702">
    <w:name w:val="font6"/>
    <w:basedOn w:val="663"/>
    <w:next w:val="702"/>
    <w:link w:val="663"/>
    <w:pPr>
      <w:jc w:val="left"/>
      <w:spacing w:before="100" w:beforeAutospacing="1" w:after="100" w:afterAutospacing="1"/>
      <w:widowControl/>
    </w:pPr>
    <w:rPr>
      <w:rFonts w:eastAsia="宋体"/>
      <w:sz w:val="18"/>
      <w:szCs w:val="18"/>
    </w:rPr>
  </w:style>
  <w:style w:type="paragraph" w:styleId="703">
    <w:name w:val="列出段落"/>
    <w:basedOn w:val="663"/>
    <w:next w:val="703"/>
    <w:link w:val="663"/>
    <w:uiPriority w:val="99"/>
    <w:qFormat/>
    <w:pPr>
      <w:ind w:firstLine="420"/>
    </w:pPr>
  </w:style>
  <w:style w:type="paragraph" w:styleId="704">
    <w:name w:val="xl43"/>
    <w:basedOn w:val="663"/>
    <w:next w:val="704"/>
    <w:link w:val="663"/>
    <w:pPr>
      <w:jc w:val="left"/>
      <w:spacing w:before="100" w:beforeAutospacing="1" w:after="100" w:afterAutospacing="1"/>
      <w:widowControl/>
    </w:pPr>
    <w:rPr>
      <w:rFonts w:ascii="宋体" w:hAnsi="宋体" w:eastAsia="宋体"/>
      <w:sz w:val="24"/>
    </w:rPr>
  </w:style>
  <w:style w:type="paragraph" w:styleId="705">
    <w:name w:val="xl68"/>
    <w:basedOn w:val="663"/>
    <w:next w:val="705"/>
    <w:link w:val="663"/>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06">
    <w:name w:val="xl53"/>
    <w:basedOn w:val="663"/>
    <w:next w:val="706"/>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707">
    <w:name w:val="xl29"/>
    <w:basedOn w:val="663"/>
    <w:next w:val="707"/>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08">
    <w:name w:val="xl46"/>
    <w:basedOn w:val="663"/>
    <w:next w:val="708"/>
    <w:link w:val="663"/>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709">
    <w:name w:val="xl39"/>
    <w:basedOn w:val="663"/>
    <w:next w:val="709"/>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10">
    <w:name w:val="xl59"/>
    <w:basedOn w:val="663"/>
    <w:next w:val="710"/>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11">
    <w:name w:val="xl33"/>
    <w:basedOn w:val="663"/>
    <w:next w:val="711"/>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12">
    <w:name w:val="xl86"/>
    <w:basedOn w:val="663"/>
    <w:next w:val="712"/>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13">
    <w:name w:val="font7"/>
    <w:basedOn w:val="663"/>
    <w:next w:val="713"/>
    <w:link w:val="663"/>
    <w:pPr>
      <w:jc w:val="left"/>
      <w:spacing w:before="100" w:beforeAutospacing="1" w:after="100" w:afterAutospacing="1"/>
      <w:widowControl/>
    </w:pPr>
    <w:rPr>
      <w:rFonts w:eastAsia="宋体"/>
      <w:sz w:val="18"/>
      <w:szCs w:val="18"/>
    </w:rPr>
  </w:style>
  <w:style w:type="paragraph" w:styleId="714">
    <w:name w:val="Char Char Char Char"/>
    <w:basedOn w:val="673"/>
    <w:next w:val="714"/>
    <w:link w:val="663"/>
    <w:pPr>
      <w:spacing w:line="360" w:lineRule="auto"/>
    </w:pPr>
    <w:rPr>
      <w:rFonts w:ascii="Tahoma" w:hAnsi="Tahoma"/>
      <w:sz w:val="24"/>
    </w:rPr>
  </w:style>
  <w:style w:type="paragraph" w:styleId="715">
    <w:name w:val="xl67"/>
    <w:basedOn w:val="663"/>
    <w:next w:val="715"/>
    <w:link w:val="66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16">
    <w:name w:val="xl45"/>
    <w:basedOn w:val="663"/>
    <w:next w:val="716"/>
    <w:link w:val="663"/>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717">
    <w:name w:val="xl72"/>
    <w:basedOn w:val="663"/>
    <w:next w:val="717"/>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18">
    <w:name w:val="标书正文格式"/>
    <w:next w:val="718"/>
    <w:link w:val="663"/>
    <w:pPr>
      <w:ind w:firstLine="480"/>
      <w:jc w:val="both"/>
      <w:spacing w:line="360" w:lineRule="auto"/>
    </w:pPr>
    <w:rPr>
      <w:rFonts w:ascii="宋体" w:hAnsi="宋体"/>
      <w:sz w:val="24"/>
      <w:szCs w:val="24"/>
      <w:lang w:val="en-US" w:eastAsia="zh-CN" w:bidi="ar-SA"/>
    </w:rPr>
  </w:style>
  <w:style w:type="paragraph" w:styleId="719">
    <w:name w:val="xl60"/>
    <w:basedOn w:val="663"/>
    <w:next w:val="719"/>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20">
    <w:name w:val="xl84"/>
    <w:basedOn w:val="663"/>
    <w:next w:val="720"/>
    <w:link w:val="66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21">
    <w:name w:val="xl57"/>
    <w:basedOn w:val="663"/>
    <w:next w:val="721"/>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722">
    <w:name w:val="xl69"/>
    <w:basedOn w:val="663"/>
    <w:next w:val="722"/>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23">
    <w:name w:val="font12"/>
    <w:basedOn w:val="663"/>
    <w:next w:val="723"/>
    <w:link w:val="663"/>
    <w:pPr>
      <w:jc w:val="left"/>
      <w:spacing w:before="100" w:beforeAutospacing="1" w:after="100" w:afterAutospacing="1"/>
      <w:widowControl/>
    </w:pPr>
    <w:rPr>
      <w:rFonts w:eastAsia="宋体"/>
      <w:color w:val="333333"/>
      <w:sz w:val="18"/>
      <w:szCs w:val="18"/>
    </w:rPr>
  </w:style>
  <w:style w:type="paragraph" w:styleId="724">
    <w:name w:val="font8"/>
    <w:basedOn w:val="663"/>
    <w:next w:val="724"/>
    <w:link w:val="663"/>
    <w:pPr>
      <w:jc w:val="left"/>
      <w:spacing w:before="100" w:beforeAutospacing="1" w:after="100" w:afterAutospacing="1"/>
      <w:widowControl/>
    </w:pPr>
    <w:rPr>
      <w:rFonts w:eastAsia="宋体"/>
      <w:sz w:val="18"/>
      <w:szCs w:val="18"/>
    </w:rPr>
  </w:style>
  <w:style w:type="paragraph" w:styleId="725">
    <w:name w:val="xl47"/>
    <w:basedOn w:val="663"/>
    <w:next w:val="725"/>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726">
    <w:name w:val=" Char Char Char Char Char Char Char Char"/>
    <w:basedOn w:val="663"/>
    <w:next w:val="726"/>
    <w:link w:val="663"/>
    <w:pPr>
      <w:jc w:val="left"/>
      <w:spacing w:after="160" w:line="240" w:lineRule="exact"/>
      <w:widowControl/>
    </w:pPr>
    <w:rPr>
      <w:rFonts w:ascii="Verdana" w:hAnsi="Verdana"/>
      <w:sz w:val="20"/>
      <w:szCs w:val="20"/>
      <w:lang w:eastAsia="en-US"/>
    </w:rPr>
  </w:style>
  <w:style w:type="paragraph" w:styleId="727">
    <w:name w:val="xl74"/>
    <w:basedOn w:val="663"/>
    <w:next w:val="727"/>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728">
    <w:name w:val="xl77"/>
    <w:basedOn w:val="663"/>
    <w:next w:val="728"/>
    <w:link w:val="6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729">
    <w:name w:val="xl71"/>
    <w:basedOn w:val="663"/>
    <w:next w:val="729"/>
    <w:link w:val="663"/>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30">
    <w:name w:val="xl75"/>
    <w:basedOn w:val="663"/>
    <w:next w:val="730"/>
    <w:link w:val="663"/>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731">
    <w:name w:val="xl38"/>
    <w:basedOn w:val="663"/>
    <w:next w:val="731"/>
    <w:link w:val="66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32">
    <w:name w:val="xl51"/>
    <w:basedOn w:val="663"/>
    <w:next w:val="732"/>
    <w:link w:val="663"/>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733">
    <w:name w:val="xl78"/>
    <w:basedOn w:val="663"/>
    <w:next w:val="733"/>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734">
    <w:name w:val="普通正文"/>
    <w:basedOn w:val="663"/>
    <w:next w:val="734"/>
    <w:link w:val="663"/>
    <w:pPr>
      <w:ind w:firstLine="480"/>
      <w:jc w:val="left"/>
      <w:spacing w:before="120" w:after="120" w:line="360" w:lineRule="auto"/>
    </w:pPr>
    <w:rPr>
      <w:rFonts w:ascii="Arial" w:hAnsi="Arial"/>
      <w:sz w:val="24"/>
    </w:rPr>
  </w:style>
  <w:style w:type="paragraph" w:styleId="735">
    <w:name w:val="Char"/>
    <w:basedOn w:val="663"/>
    <w:next w:val="735"/>
    <w:link w:val="663"/>
    <w:pPr>
      <w:tabs>
        <w:tab w:val="left" w:pos="360" w:leader="none"/>
      </w:tabs>
    </w:pPr>
    <w:rPr>
      <w:sz w:val="24"/>
    </w:rPr>
  </w:style>
  <w:style w:type="paragraph" w:styleId="736">
    <w:name w:val="xl85"/>
    <w:basedOn w:val="663"/>
    <w:next w:val="736"/>
    <w:link w:val="663"/>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737">
    <w:name w:val="xl81"/>
    <w:basedOn w:val="663"/>
    <w:next w:val="737"/>
    <w:link w:val="663"/>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738">
    <w:name w:val="xl56"/>
    <w:basedOn w:val="663"/>
    <w:next w:val="738"/>
    <w:link w:val="663"/>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39">
    <w:name w:val="xl63"/>
    <w:basedOn w:val="663"/>
    <w:next w:val="739"/>
    <w:link w:val="663"/>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740">
    <w:name w:val="font10"/>
    <w:basedOn w:val="663"/>
    <w:next w:val="740"/>
    <w:link w:val="663"/>
    <w:pPr>
      <w:jc w:val="left"/>
      <w:spacing w:before="100" w:beforeAutospacing="1" w:after="100" w:afterAutospacing="1"/>
      <w:widowControl/>
    </w:pPr>
    <w:rPr>
      <w:rFonts w:eastAsia="宋体"/>
      <w:sz w:val="18"/>
      <w:szCs w:val="18"/>
    </w:rPr>
  </w:style>
  <w:style w:type="paragraph" w:styleId="741">
    <w:name w:val="xl62"/>
    <w:basedOn w:val="663"/>
    <w:next w:val="741"/>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42">
    <w:name w:val="xl32"/>
    <w:basedOn w:val="663"/>
    <w:next w:val="742"/>
    <w:link w:val="66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43">
    <w:name w:val="xl37"/>
    <w:basedOn w:val="663"/>
    <w:next w:val="743"/>
    <w:link w:val="663"/>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44">
    <w:name w:val="xl54"/>
    <w:basedOn w:val="663"/>
    <w:next w:val="744"/>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Print" w:hAnsi="Segoe Print" w:eastAsia="宋体"/>
      <w:sz w:val="20"/>
      <w:szCs w:val="20"/>
    </w:rPr>
  </w:style>
  <w:style w:type="paragraph" w:styleId="745">
    <w:name w:val="font11"/>
    <w:basedOn w:val="663"/>
    <w:next w:val="745"/>
    <w:link w:val="663"/>
    <w:pPr>
      <w:jc w:val="left"/>
      <w:spacing w:before="100" w:beforeAutospacing="1" w:after="100" w:afterAutospacing="1"/>
      <w:widowControl/>
    </w:pPr>
    <w:rPr>
      <w:rFonts w:hint="eastAsia" w:ascii="宋体" w:hAnsi="宋体"/>
      <w:color w:val="333333"/>
      <w:sz w:val="18"/>
      <w:szCs w:val="18"/>
    </w:rPr>
  </w:style>
  <w:style w:type="paragraph" w:styleId="746">
    <w:name w:val="xl79"/>
    <w:basedOn w:val="663"/>
    <w:next w:val="746"/>
    <w:link w:val="663"/>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747">
    <w:name w:val="xl42"/>
    <w:basedOn w:val="663"/>
    <w:next w:val="747"/>
    <w:link w:val="663"/>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748">
    <w:name w:val="xl73"/>
    <w:basedOn w:val="663"/>
    <w:next w:val="748"/>
    <w:link w:val="663"/>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749">
    <w:name w:val="xl36"/>
    <w:basedOn w:val="663"/>
    <w:next w:val="749"/>
    <w:link w:val="663"/>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50">
    <w:name w:val="xl44"/>
    <w:basedOn w:val="663"/>
    <w:next w:val="750"/>
    <w:link w:val="663"/>
    <w:pPr>
      <w:jc w:val="right"/>
      <w:spacing w:before="100" w:beforeAutospacing="1" w:after="100" w:afterAutospacing="1"/>
      <w:widowControl/>
    </w:pPr>
    <w:rPr>
      <w:rFonts w:ascii="宋体" w:hAnsi="宋体" w:eastAsia="宋体"/>
      <w:sz w:val="24"/>
    </w:rPr>
  </w:style>
  <w:style w:type="paragraph" w:styleId="751">
    <w:name w:val="xl35"/>
    <w:basedOn w:val="663"/>
    <w:next w:val="751"/>
    <w:link w:val="663"/>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752">
    <w:name w:val=" Char Char Char Char Char Char Char Char Char Char Char Char Char"/>
    <w:basedOn w:val="663"/>
    <w:next w:val="752"/>
    <w:link w:val="663"/>
    <w:pPr>
      <w:jc w:val="left"/>
      <w:spacing w:after="160" w:line="240" w:lineRule="exact"/>
      <w:widowControl/>
    </w:pPr>
    <w:rPr>
      <w:rFonts w:ascii="Verdana" w:hAnsi="Verdana"/>
      <w:sz w:val="20"/>
      <w:szCs w:val="20"/>
      <w:lang w:eastAsia="en-US"/>
    </w:rPr>
  </w:style>
  <w:style w:type="paragraph" w:styleId="753">
    <w:name w:val="xl64"/>
    <w:basedOn w:val="663"/>
    <w:next w:val="753"/>
    <w:link w:val="663"/>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754">
    <w:name w:val="xl41"/>
    <w:basedOn w:val="663"/>
    <w:next w:val="754"/>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755">
    <w:name w:val="xl52"/>
    <w:basedOn w:val="663"/>
    <w:next w:val="755"/>
    <w:link w:val="663"/>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756">
    <w:name w:val="xl80"/>
    <w:basedOn w:val="663"/>
    <w:next w:val="756"/>
    <w:link w:val="663"/>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757">
    <w:name w:val="xl31"/>
    <w:basedOn w:val="663"/>
    <w:next w:val="757"/>
    <w:link w:val="6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758">
    <w:name w:val="xl30"/>
    <w:basedOn w:val="663"/>
    <w:next w:val="758"/>
    <w:link w:val="663"/>
    <w:pPr>
      <w:jc w:val="left"/>
      <w:spacing w:before="100" w:beforeAutospacing="1" w:after="100" w:afterAutospacing="1"/>
      <w:widowControl/>
    </w:pPr>
    <w:rPr>
      <w:rFonts w:ascii="宋体" w:hAnsi="宋体" w:eastAsia="宋体"/>
      <w:sz w:val="18"/>
      <w:szCs w:val="18"/>
    </w:rPr>
  </w:style>
  <w:style w:type="paragraph" w:styleId="759">
    <w:name w:val="Default"/>
    <w:next w:val="759"/>
    <w:link w:val="663"/>
    <w:pPr>
      <w:widowControl w:val="off"/>
    </w:pPr>
    <w:rPr>
      <w:rFonts w:ascii="仿宋" w:eastAsia="仿宋" w:cs="仿宋"/>
      <w:color w:val="000000"/>
      <w:sz w:val="24"/>
      <w:szCs w:val="24"/>
      <w:lang w:val="en-US" w:eastAsia="zh-CN" w:bidi="ar-SA"/>
    </w:rPr>
  </w:style>
  <w:style w:type="paragraph" w:styleId="760">
    <w:name w:val="xl34"/>
    <w:basedOn w:val="663"/>
    <w:next w:val="760"/>
    <w:link w:val="663"/>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761">
    <w:name w:val=" Char"/>
    <w:basedOn w:val="673"/>
    <w:next w:val="761"/>
    <w:link w:val="663"/>
    <w:pPr>
      <w:spacing w:line="360" w:lineRule="auto"/>
    </w:pPr>
    <w:rPr>
      <w:rFonts w:ascii="Tahoma" w:hAnsi="Tahoma"/>
      <w:sz w:val="24"/>
    </w:rPr>
  </w:style>
  <w:style w:type="paragraph" w:styleId="762">
    <w:name w:val="font9"/>
    <w:basedOn w:val="663"/>
    <w:next w:val="762"/>
    <w:link w:val="663"/>
    <w:pPr>
      <w:jc w:val="left"/>
      <w:spacing w:before="100" w:beforeAutospacing="1" w:after="100" w:afterAutospacing="1"/>
      <w:widowControl/>
    </w:pPr>
    <w:rPr>
      <w:rFonts w:eastAsia="宋体"/>
      <w:b/>
      <w:bCs/>
      <w:color w:val="000000"/>
      <w:sz w:val="18"/>
      <w:szCs w:val="18"/>
    </w:rPr>
  </w:style>
  <w:style w:type="paragraph" w:styleId="763">
    <w:name w:val="xl58"/>
    <w:basedOn w:val="663"/>
    <w:next w:val="763"/>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64">
    <w:name w:val="xl70"/>
    <w:basedOn w:val="663"/>
    <w:next w:val="764"/>
    <w:link w:val="6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65">
    <w:name w:val="xl28"/>
    <w:basedOn w:val="663"/>
    <w:next w:val="765"/>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66">
    <w:name w:val="xl48"/>
    <w:basedOn w:val="663"/>
    <w:next w:val="766"/>
    <w:link w:val="663"/>
    <w:pPr>
      <w:jc w:val="center"/>
      <w:spacing w:before="100" w:beforeAutospacing="1" w:after="100" w:afterAutospacing="1"/>
      <w:widowControl/>
    </w:pPr>
    <w:rPr>
      <w:rFonts w:ascii="宋体" w:hAnsi="宋体" w:eastAsia="宋体"/>
      <w:sz w:val="28"/>
      <w:szCs w:val="28"/>
    </w:rPr>
  </w:style>
  <w:style w:type="paragraph" w:styleId="767">
    <w:name w:val="font5"/>
    <w:basedOn w:val="663"/>
    <w:next w:val="767"/>
    <w:link w:val="663"/>
    <w:pPr>
      <w:jc w:val="left"/>
      <w:spacing w:before="100" w:beforeAutospacing="1" w:after="100" w:afterAutospacing="1"/>
      <w:widowControl/>
    </w:pPr>
    <w:rPr>
      <w:rFonts w:hint="eastAsia" w:ascii="宋体" w:hAnsi="宋体"/>
      <w:sz w:val="18"/>
      <w:szCs w:val="18"/>
    </w:rPr>
  </w:style>
  <w:style w:type="paragraph" w:styleId="768">
    <w:name w:val="默认段落字体 Para Char Char Char Char Char Char Char Char Char1 Char Char Char Char Char Char Char"/>
    <w:basedOn w:val="673"/>
    <w:next w:val="768"/>
    <w:link w:val="663"/>
    <w:rPr>
      <w:rFonts w:ascii="Tahoma" w:hAnsi="Tahoma"/>
      <w:sz w:val="24"/>
    </w:rPr>
  </w:style>
  <w:style w:type="paragraph" w:styleId="769">
    <w:name w:val="xl66"/>
    <w:basedOn w:val="663"/>
    <w:next w:val="769"/>
    <w:link w:val="6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70">
    <w:name w:val="font13"/>
    <w:basedOn w:val="663"/>
    <w:next w:val="770"/>
    <w:link w:val="663"/>
    <w:pPr>
      <w:jc w:val="left"/>
      <w:spacing w:before="100" w:beforeAutospacing="1" w:after="100" w:afterAutospacing="1"/>
      <w:widowControl/>
    </w:pPr>
    <w:rPr>
      <w:rFonts w:eastAsia="宋体"/>
      <w:b/>
      <w:bCs/>
      <w:sz w:val="18"/>
      <w:szCs w:val="18"/>
    </w:rPr>
  </w:style>
  <w:style w:type="paragraph" w:styleId="771">
    <w:name w:val="xl83"/>
    <w:basedOn w:val="663"/>
    <w:next w:val="771"/>
    <w:link w:val="663"/>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2">
    <w:name w:val="xl61"/>
    <w:basedOn w:val="663"/>
    <w:next w:val="772"/>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3">
    <w:name w:val="xl76"/>
    <w:basedOn w:val="663"/>
    <w:next w:val="773"/>
    <w:link w:val="663"/>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774">
    <w:name w:val="xl55"/>
    <w:basedOn w:val="663"/>
    <w:next w:val="774"/>
    <w:link w:val="6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775">
    <w:name w:val="xl40"/>
    <w:basedOn w:val="663"/>
    <w:next w:val="775"/>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776">
    <w:name w:val="xl65"/>
    <w:basedOn w:val="663"/>
    <w:next w:val="776"/>
    <w:link w:val="663"/>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777">
    <w:name w:val="xl49"/>
    <w:basedOn w:val="663"/>
    <w:next w:val="777"/>
    <w:link w:val="6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778">
    <w:name w:val="xl50"/>
    <w:basedOn w:val="663"/>
    <w:next w:val="778"/>
    <w:link w:val="663"/>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779">
    <w:name w:val="xl82"/>
    <w:basedOn w:val="663"/>
    <w:next w:val="779"/>
    <w:link w:val="66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780">
    <w:name w:val="正文文本1"/>
    <w:basedOn w:val="663"/>
    <w:next w:val="780"/>
    <w:link w:val="66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81">
    <w:name w:val="[Normal]"/>
    <w:next w:val="781"/>
    <w:link w:val="663"/>
    <w:qFormat/>
    <w:rPr>
      <w:rFonts w:ascii="方正仿宋简体" w:hAnsi="方正仿宋简体" w:eastAsia="方正仿宋简体" w:cs="Courier New"/>
      <w:sz w:val="24"/>
      <w:szCs w:val="22"/>
      <w:lang w:val="zh-CN" w:eastAsia="zh-CN" w:bidi="ar-SA"/>
    </w:rPr>
  </w:style>
  <w:style w:type="paragraph" w:styleId="782">
    <w:name w:val="BodyText1"/>
    <w:basedOn w:val="663"/>
    <w:next w:val="782"/>
    <w:link w:val="663"/>
    <w:qFormat/>
    <w:pPr>
      <w:jc w:val="both"/>
      <w:spacing w:line="60" w:lineRule="auto"/>
    </w:pPr>
    <w:rPr>
      <w:rFonts w:ascii="仿宋" w:hAnsi="Calibri" w:eastAsia="仿宋"/>
      <w:sz w:val="32"/>
      <w:szCs w:val="22"/>
      <w:lang w:val="en-US" w:eastAsia="zh-CN" w:bidi="ar-SA"/>
    </w:rPr>
  </w:style>
  <w:style w:type="paragraph" w:styleId="783">
    <w:name w:val="WPSOffice手动目录 1"/>
    <w:next w:val="783"/>
    <w:link w:val="663"/>
    <w:rPr>
      <w:sz w:val="20"/>
      <w:szCs w:val="20"/>
    </w:rPr>
  </w:style>
  <w:style w:type="paragraph" w:styleId="784">
    <w:name w:val="Table Paragraph"/>
    <w:basedOn w:val="663"/>
    <w:next w:val="784"/>
    <w:link w:val="663"/>
    <w:rPr>
      <w:rFonts w:ascii="宋体" w:hAnsi="宋体" w:eastAsia="宋体" w:cs="宋体"/>
      <w:lang w:val="zh-CN" w:eastAsia="zh-CN" w:bidi="zh-CN"/>
    </w:rPr>
  </w:style>
  <w:style w:type="paragraph" w:styleId="785">
    <w:name w:val="纯文本12"/>
    <w:basedOn w:val="663"/>
    <w:next w:val="785"/>
    <w:link w:val="663"/>
    <w:uiPriority w:val="99"/>
    <w:qFormat/>
    <w:rPr>
      <w:rFonts w:ascii="宋体" w:hAnsi="Courier New"/>
      <w:szCs w:val="20"/>
    </w:rPr>
  </w:style>
  <w:style w:type="paragraph" w:styleId="786">
    <w:name w:val="纯文本1"/>
    <w:basedOn w:val="663"/>
    <w:next w:val="786"/>
    <w:link w:val="663"/>
    <w:qFormat/>
    <w:rPr>
      <w:rFonts w:ascii="宋体" w:hAnsi="Courier New"/>
      <w:szCs w:val="20"/>
    </w:rPr>
  </w:style>
  <w:style w:type="table" w:styleId="787">
    <w:name w:val="网格型1"/>
    <w:basedOn w:val="788"/>
    <w:next w:val="787"/>
    <w:link w:val="663"/>
    <w:qFormat/>
    <w:pPr>
      <w:jc w:val="both"/>
      <w:widowControl w:val="off"/>
    </w:pPr>
    <w:rPr>
      <w:rFonts w:ascii="Times New Roman" w:hAnsi="Times New Roman"/>
    </w:rPr>
    <w:tblPr/>
  </w:style>
  <w:style w:type="table" w:styleId="788">
    <w:name w:val="普通表格1"/>
    <w:next w:val="788"/>
    <w:link w:val="663"/>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789">
    <w:name w:val="正文格式－文字"/>
    <w:next w:val="789"/>
    <w:link w:val="663"/>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28462" w:default="1">
    <w:name w:val="Default Paragraph Font"/>
    <w:uiPriority w:val="1"/>
    <w:semiHidden/>
    <w:unhideWhenUsed/>
  </w:style>
  <w:style w:type="numbering" w:styleId="28463" w:default="1">
    <w:name w:val="No List"/>
    <w:uiPriority w:val="99"/>
    <w:semiHidden/>
    <w:unhideWhenUsed/>
  </w:style>
  <w:style w:type="table" w:styleId="284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陈建京</cp:lastModifiedBy>
  <cp:revision>5</cp:revision>
  <dcterms:created xsi:type="dcterms:W3CDTF">2024-02-28T03:16:00Z</dcterms:created>
  <dcterms:modified xsi:type="dcterms:W3CDTF">2026-01-20T06:19:12Z</dcterms:modified>
</cp:coreProperties>
</file>